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06588" w:rsidR="005878B9" w:rsidP="3E270E66" w:rsidRDefault="1BA1ACEE" w14:paraId="672A6659" w14:textId="77777777">
      <w:pPr>
        <w:jc w:val="center"/>
        <w:rPr>
          <w:rFonts w:ascii="Calibri" w:hAnsi="Calibri" w:cs="Calibri" w:asciiTheme="minorAscii" w:hAnsiTheme="minorAscii" w:cstheme="minorAscii"/>
        </w:rPr>
      </w:pPr>
      <w:r w:rsidR="1BA1ACEE">
        <w:drawing>
          <wp:inline wp14:editId="15039171" wp14:anchorId="72335020">
            <wp:extent cx="1440180" cy="1438910"/>
            <wp:effectExtent l="0" t="0" r="0" b="0"/>
            <wp:docPr id="1" name="image1.png" title=""/>
            <wp:cNvGraphicFramePr>
              <a:graphicFrameLocks noChangeAspect="1"/>
            </wp:cNvGraphicFramePr>
            <a:graphic>
              <a:graphicData uri="http://schemas.openxmlformats.org/drawingml/2006/picture">
                <pic:pic>
                  <pic:nvPicPr>
                    <pic:cNvPr id="0" name="image1.png"/>
                    <pic:cNvPicPr/>
                  </pic:nvPicPr>
                  <pic:blipFill>
                    <a:blip r:embed="R819831d553f14da3">
                      <a:extLst xmlns:a="http://schemas.openxmlformats.org/drawingml/2006/main">
                        <a:ext uri="{28A0092B-C50C-407E-A947-70E740481C1C}">
                          <a14:useLocalDpi xmlns:a14="http://schemas.microsoft.com/office/drawing/2010/main" val="0"/>
                        </a:ext>
                      </a:extLst>
                    </a:blip>
                    <a:srcRect l="16292" t="13231" r="16028" b="19619"/>
                    <a:stretch>
                      <a:fillRect/>
                    </a:stretch>
                  </pic:blipFill>
                  <pic:spPr>
                    <a:xfrm rot="0" flipH="0" flipV="0">
                      <a:off x="0" y="0"/>
                      <a:ext cx="1440180" cy="1438910"/>
                    </a:xfrm>
                    <a:prstGeom prst="rect">
                      <a:avLst/>
                    </a:prstGeom>
                  </pic:spPr>
                </pic:pic>
              </a:graphicData>
            </a:graphic>
          </wp:inline>
        </w:drawing>
      </w:r>
    </w:p>
    <w:p w:rsidRPr="00306588" w:rsidR="005878B9" w:rsidP="42852505" w:rsidRDefault="648D147D" w14:paraId="1F09367A" w14:textId="0E62F142">
      <w:pPr>
        <w:pStyle w:val="NoSpacing"/>
        <w:jc w:val="center"/>
        <w:rPr>
          <w:rFonts w:cstheme="minorHAnsi"/>
          <w:b/>
          <w:bCs/>
          <w:sz w:val="32"/>
          <w:szCs w:val="32"/>
          <w:shd w:val="clear" w:color="auto" w:fill="FFFFFF"/>
        </w:rPr>
      </w:pPr>
      <w:r w:rsidRPr="00306588">
        <w:rPr>
          <w:rFonts w:cstheme="minorHAnsi"/>
          <w:b/>
          <w:bCs/>
          <w:sz w:val="32"/>
          <w:szCs w:val="32"/>
          <w:shd w:val="clear" w:color="auto" w:fill="FFFFFF"/>
        </w:rPr>
        <w:t xml:space="preserve">Element79 Gold </w:t>
      </w:r>
      <w:r w:rsidRPr="00306588" w:rsidR="00875ECB">
        <w:rPr>
          <w:rFonts w:cstheme="minorHAnsi"/>
          <w:b/>
          <w:bCs/>
          <w:sz w:val="32"/>
          <w:szCs w:val="32"/>
          <w:shd w:val="clear" w:color="auto" w:fill="FFFFFF"/>
        </w:rPr>
        <w:t>Provides Corporate Updates</w:t>
      </w:r>
    </w:p>
    <w:p w:rsidRPr="00306588" w:rsidR="00AD6D7D" w:rsidP="00AD6D7D" w:rsidRDefault="273807DE" w14:paraId="06D4CB4F" w14:textId="33F8D342">
      <w:pPr>
        <w:pStyle w:val="BodyText"/>
        <w:spacing w:before="240" w:after="0" w:line="240" w:lineRule="auto"/>
        <w:jc w:val="both"/>
        <w:rPr>
          <w:rFonts w:asciiTheme="minorHAnsi" w:hAnsiTheme="minorHAnsi" w:cstheme="minorHAnsi"/>
          <w:shd w:val="clear" w:color="auto" w:fill="FFFFFF"/>
        </w:rPr>
      </w:pPr>
      <w:r w:rsidRPr="00306588">
        <w:rPr>
          <w:rFonts w:asciiTheme="minorHAnsi" w:hAnsiTheme="minorHAnsi" w:cstheme="minorHAnsi"/>
        </w:rPr>
        <w:t xml:space="preserve">Vancouver, BC, </w:t>
      </w:r>
      <w:r w:rsidRPr="00306588" w:rsidR="00AD6D7D">
        <w:rPr>
          <w:rFonts w:asciiTheme="minorHAnsi" w:hAnsiTheme="minorHAnsi" w:cstheme="minorHAnsi"/>
        </w:rPr>
        <w:t>December</w:t>
      </w:r>
      <w:r w:rsidRPr="00306588" w:rsidR="035E4BD2">
        <w:rPr>
          <w:rFonts w:asciiTheme="minorHAnsi" w:hAnsiTheme="minorHAnsi" w:cstheme="minorHAnsi"/>
        </w:rPr>
        <w:t xml:space="preserve"> </w:t>
      </w:r>
      <w:r w:rsidRPr="00306588" w:rsidR="00AD6D7D">
        <w:rPr>
          <w:rFonts w:asciiTheme="minorHAnsi" w:hAnsiTheme="minorHAnsi" w:cstheme="minorHAnsi"/>
        </w:rPr>
        <w:t>2</w:t>
      </w:r>
      <w:r w:rsidRPr="00306588">
        <w:rPr>
          <w:rFonts w:asciiTheme="minorHAnsi" w:hAnsiTheme="minorHAnsi" w:cstheme="minorHAnsi"/>
        </w:rPr>
        <w:t>, 2022 – Element79 Gold Corp. (</w:t>
      </w:r>
      <w:bookmarkStart w:name="_Int_mkMQGGlz" w:id="0"/>
      <w:r w:rsidRPr="00306588" w:rsidR="599903ED">
        <w:rPr>
          <w:rFonts w:asciiTheme="minorHAnsi" w:hAnsiTheme="minorHAnsi" w:cstheme="minorHAnsi"/>
          <w:shd w:val="clear" w:color="auto" w:fill="FFFFFF"/>
        </w:rPr>
        <w:t>CSE:ELEM</w:t>
      </w:r>
      <w:bookmarkEnd w:id="0"/>
      <w:r w:rsidRPr="00306588">
        <w:rPr>
          <w:rFonts w:asciiTheme="minorHAnsi" w:hAnsiTheme="minorHAnsi" w:cstheme="minorHAnsi"/>
          <w:shd w:val="clear" w:color="auto" w:fill="FFFFFF"/>
        </w:rPr>
        <w:t>) (</w:t>
      </w:r>
      <w:bookmarkStart w:name="_Int_7VzkF39C" w:id="1"/>
      <w:r w:rsidRPr="00306588" w:rsidR="699498A8">
        <w:rPr>
          <w:rFonts w:asciiTheme="minorHAnsi" w:hAnsiTheme="minorHAnsi" w:cstheme="minorHAnsi"/>
          <w:shd w:val="clear" w:color="auto" w:fill="FFFFFF"/>
        </w:rPr>
        <w:t>OTC:ELMGF</w:t>
      </w:r>
      <w:bookmarkEnd w:id="1"/>
      <w:r w:rsidRPr="00306588">
        <w:rPr>
          <w:rFonts w:asciiTheme="minorHAnsi" w:hAnsiTheme="minorHAnsi" w:cstheme="minorHAnsi"/>
          <w:shd w:val="clear" w:color="auto" w:fill="FFFFFF"/>
        </w:rPr>
        <w:t>) (FSE:7YS) ("</w:t>
      </w:r>
      <w:r w:rsidRPr="00306588">
        <w:rPr>
          <w:rFonts w:asciiTheme="minorHAnsi" w:hAnsiTheme="minorHAnsi" w:cstheme="minorHAnsi"/>
          <w:b/>
          <w:bCs/>
          <w:shd w:val="clear" w:color="auto" w:fill="FFFFFF"/>
        </w:rPr>
        <w:t>Element79 Gold</w:t>
      </w:r>
      <w:r w:rsidRPr="00306588">
        <w:rPr>
          <w:rFonts w:asciiTheme="minorHAnsi" w:hAnsiTheme="minorHAnsi" w:cstheme="minorHAnsi"/>
          <w:shd w:val="clear" w:color="auto" w:fill="FFFFFF"/>
        </w:rPr>
        <w:t xml:space="preserve">", </w:t>
      </w:r>
      <w:r w:rsidRPr="00306588" w:rsidR="00AD6D7D">
        <w:rPr>
          <w:rFonts w:asciiTheme="minorHAnsi" w:hAnsiTheme="minorHAnsi" w:cstheme="minorHAnsi"/>
          <w:shd w:val="clear" w:color="auto" w:fill="FFFFFF"/>
        </w:rPr>
        <w:t xml:space="preserve">or </w:t>
      </w:r>
      <w:r w:rsidRPr="00306588">
        <w:rPr>
          <w:rFonts w:asciiTheme="minorHAnsi" w:hAnsiTheme="minorHAnsi" w:cstheme="minorHAnsi"/>
          <w:shd w:val="clear" w:color="auto" w:fill="FFFFFF"/>
        </w:rPr>
        <w:t>the "</w:t>
      </w:r>
      <w:r w:rsidRPr="00306588">
        <w:rPr>
          <w:rFonts w:asciiTheme="minorHAnsi" w:hAnsiTheme="minorHAnsi" w:cstheme="minorHAnsi"/>
          <w:b/>
          <w:bCs/>
          <w:shd w:val="clear" w:color="auto" w:fill="FFFFFF"/>
        </w:rPr>
        <w:t>Company</w:t>
      </w:r>
      <w:r w:rsidRPr="00306588">
        <w:rPr>
          <w:rFonts w:asciiTheme="minorHAnsi" w:hAnsiTheme="minorHAnsi" w:cstheme="minorHAnsi"/>
          <w:shd w:val="clear" w:color="auto" w:fill="FFFFFF"/>
        </w:rPr>
        <w:t>")</w:t>
      </w:r>
      <w:r w:rsidRPr="00306588">
        <w:rPr>
          <w:rFonts w:asciiTheme="minorHAnsi" w:hAnsiTheme="minorHAnsi" w:cstheme="minorHAnsi"/>
        </w:rPr>
        <w:t xml:space="preserve"> </w:t>
      </w:r>
      <w:r w:rsidRPr="00306588" w:rsidR="00833E9D">
        <w:rPr>
          <w:rFonts w:asciiTheme="minorHAnsi" w:hAnsiTheme="minorHAnsi" w:cstheme="minorHAnsi"/>
          <w:shd w:val="clear" w:color="auto" w:fill="FFFFFF"/>
        </w:rPr>
        <w:t xml:space="preserve">is pleased to announce </w:t>
      </w:r>
      <w:r w:rsidRPr="00306588" w:rsidR="00AD6D7D">
        <w:rPr>
          <w:rFonts w:asciiTheme="minorHAnsi" w:hAnsiTheme="minorHAnsi" w:cstheme="minorHAnsi"/>
          <w:shd w:val="clear" w:color="auto" w:fill="FFFFFF"/>
        </w:rPr>
        <w:t xml:space="preserve">progress towards the closing sales of the Company’s Long Peak Project, </w:t>
      </w:r>
      <w:proofErr w:type="spellStart"/>
      <w:r w:rsidRPr="00306588" w:rsidR="00AD6D7D">
        <w:rPr>
          <w:rFonts w:asciiTheme="minorHAnsi" w:hAnsiTheme="minorHAnsi" w:cstheme="minorHAnsi"/>
          <w:shd w:val="clear" w:color="auto" w:fill="FFFFFF"/>
        </w:rPr>
        <w:t>Stargo</w:t>
      </w:r>
      <w:proofErr w:type="spellEnd"/>
      <w:r w:rsidRPr="00306588" w:rsidR="00AD6D7D">
        <w:rPr>
          <w:rFonts w:asciiTheme="minorHAnsi" w:hAnsiTheme="minorHAnsi" w:cstheme="minorHAnsi"/>
          <w:shd w:val="clear" w:color="auto" w:fill="FFFFFF"/>
        </w:rPr>
        <w:t xml:space="preserve"> Project, Elder Creek Project, North Mill Creek Project and Elephant Project (“</w:t>
      </w:r>
      <w:r w:rsidRPr="00306588" w:rsidR="00AD6D7D">
        <w:rPr>
          <w:rFonts w:asciiTheme="minorHAnsi" w:hAnsiTheme="minorHAnsi" w:cstheme="minorHAnsi"/>
          <w:b/>
          <w:bCs/>
          <w:shd w:val="clear" w:color="auto" w:fill="FFFFFF"/>
        </w:rPr>
        <w:t>Five Properties</w:t>
      </w:r>
      <w:r w:rsidRPr="00306588" w:rsidR="00AD6D7D">
        <w:rPr>
          <w:rFonts w:asciiTheme="minorHAnsi" w:hAnsiTheme="minorHAnsi" w:cstheme="minorHAnsi"/>
          <w:shd w:val="clear" w:color="auto" w:fill="FFFFFF"/>
        </w:rPr>
        <w:t xml:space="preserve">”) in Nevada. </w:t>
      </w:r>
    </w:p>
    <w:p w:rsidRPr="00306588" w:rsidR="00AD6D7D" w:rsidP="674DA5BF" w:rsidRDefault="00AD6D7D" w14:paraId="56F4A50E" w14:textId="65158BC6">
      <w:pPr>
        <w:pStyle w:val="BodyText"/>
        <w:spacing w:before="240" w:after="0" w:line="240" w:lineRule="auto"/>
        <w:jc w:val="both"/>
        <w:rPr>
          <w:rFonts w:ascii="Calibri" w:hAnsi="Calibri" w:cs="Calibri" w:asciiTheme="minorAscii" w:hAnsiTheme="minorAscii" w:cstheme="minorAscii"/>
          <w:shd w:val="clear" w:color="auto" w:fill="FFFFFF"/>
        </w:rPr>
      </w:pPr>
      <w:r w:rsidRPr="674DA5BF" w:rsidR="00AD6D7D">
        <w:rPr>
          <w:rFonts w:ascii="Calibri" w:hAnsi="Calibri" w:cs="Calibri" w:asciiTheme="minorAscii" w:hAnsiTheme="minorAscii" w:cstheme="minorAscii"/>
          <w:shd w:val="clear" w:color="auto" w:fill="FFFFFF"/>
        </w:rPr>
        <w:t xml:space="preserve">Element79 Gold is currently </w:t>
      </w:r>
      <w:r w:rsidRPr="674DA5BF" w:rsidR="1F900189">
        <w:rPr>
          <w:rFonts w:ascii="Calibri" w:hAnsi="Calibri" w:cs="Calibri" w:asciiTheme="minorAscii" w:hAnsiTheme="minorAscii" w:cstheme="minorAscii"/>
          <w:shd w:val="clear" w:color="auto" w:fill="FFFFFF"/>
        </w:rPr>
        <w:t>negotiating definitive</w:t>
      </w:r>
      <w:r w:rsidRPr="674DA5BF" w:rsidR="00AD6D7D">
        <w:rPr>
          <w:rFonts w:ascii="Calibri" w:hAnsi="Calibri" w:cs="Calibri" w:asciiTheme="minorAscii" w:hAnsiTheme="minorAscii" w:cstheme="minorAscii"/>
          <w:shd w:val="clear" w:color="auto" w:fill="FFFFFF"/>
        </w:rPr>
        <w:t xml:space="preserve"> agreement</w:t>
      </w:r>
      <w:r w:rsidRPr="674DA5BF" w:rsidR="00432627">
        <w:rPr>
          <w:rFonts w:ascii="Calibri" w:hAnsi="Calibri" w:cs="Calibri" w:asciiTheme="minorAscii" w:hAnsiTheme="minorAscii" w:cstheme="minorAscii"/>
          <w:shd w:val="clear" w:color="auto" w:fill="FFFFFF"/>
        </w:rPr>
        <w:t>s</w:t>
      </w:r>
      <w:r w:rsidRPr="674DA5BF" w:rsidR="00AD6D7D">
        <w:rPr>
          <w:rFonts w:ascii="Calibri" w:hAnsi="Calibri" w:cs="Calibri" w:asciiTheme="minorAscii" w:hAnsiTheme="minorAscii" w:cstheme="minorAscii"/>
          <w:shd w:val="clear" w:color="auto" w:fill="FFFFFF"/>
        </w:rPr>
        <w:t xml:space="preserve"> </w:t>
      </w:r>
      <w:r w:rsidRPr="674DA5BF" w:rsidR="00AD6D7D">
        <w:rPr>
          <w:rFonts w:ascii="Calibri" w:hAnsi="Calibri" w:cs="Calibri" w:asciiTheme="minorAscii" w:hAnsiTheme="minorAscii" w:cstheme="minorAscii"/>
          <w:shd w:val="clear" w:color="auto" w:fill="FFFFFF"/>
        </w:rPr>
        <w:t>with</w:t>
      </w:r>
      <w:r w:rsidRPr="674DA5BF" w:rsidR="00AD6D7D">
        <w:rPr>
          <w:rFonts w:ascii="Calibri" w:hAnsi="Calibri" w:cs="Calibri" w:asciiTheme="minorAscii" w:hAnsiTheme="minorAscii" w:cstheme="minorAscii"/>
          <w:shd w:val="clear" w:color="auto" w:fill="FFFFFF"/>
        </w:rPr>
        <w:t xml:space="preserve"> the purchasing parties. The Company expects to release further information in the coming weeks, with a tentative closing date set approximately for December 16, 2022. More information on the Five Properties</w:t>
      </w:r>
      <w:r w:rsidRPr="674DA5BF" w:rsidR="00306588">
        <w:rPr>
          <w:rFonts w:ascii="Calibri" w:hAnsi="Calibri" w:cs="Calibri" w:asciiTheme="minorAscii" w:hAnsiTheme="minorAscii" w:cstheme="minorAscii"/>
          <w:shd w:val="clear" w:color="auto" w:fill="FFFFFF"/>
        </w:rPr>
        <w:t>,</w:t>
      </w:r>
      <w:r w:rsidRPr="674DA5BF" w:rsidR="00AD6D7D">
        <w:rPr>
          <w:rFonts w:ascii="Calibri" w:hAnsi="Calibri" w:cs="Calibri" w:asciiTheme="minorAscii" w:hAnsiTheme="minorAscii" w:cstheme="minorAscii"/>
          <w:shd w:val="clear" w:color="auto" w:fill="FFFFFF"/>
        </w:rPr>
        <w:t xml:space="preserve"> and the aforementioned news release can be</w:t>
      </w:r>
      <w:r w:rsidRPr="674DA5BF" w:rsidR="00306588">
        <w:rPr>
          <w:rFonts w:ascii="Calibri" w:hAnsi="Calibri" w:cs="Calibri" w:asciiTheme="minorAscii" w:hAnsiTheme="minorAscii" w:cstheme="minorAscii"/>
          <w:shd w:val="clear" w:color="auto" w:fill="FFFFFF"/>
        </w:rPr>
        <w:t xml:space="preserve"> viewed </w:t>
      </w:r>
      <w:hyperlink w:history="1" r:id="R45259f1c121d443e">
        <w:r w:rsidRPr="674DA5BF" w:rsidR="00306588">
          <w:rPr>
            <w:rStyle w:val="Hyperlink"/>
            <w:rFonts w:ascii="Calibri" w:hAnsi="Calibri" w:cs="Calibri" w:asciiTheme="minorAscii" w:hAnsiTheme="minorAscii" w:cstheme="minorAscii"/>
            <w:shd w:val="clear" w:color="auto" w:fill="FFFFFF"/>
          </w:rPr>
          <w:t>here</w:t>
        </w:r>
      </w:hyperlink>
      <w:r w:rsidRPr="674DA5BF" w:rsidR="00306588">
        <w:rPr>
          <w:rFonts w:ascii="Calibri" w:hAnsi="Calibri" w:cs="Calibri" w:asciiTheme="minorAscii" w:hAnsiTheme="minorAscii" w:cstheme="minorAscii"/>
          <w:shd w:val="clear" w:color="auto" w:fill="FFFFFF"/>
        </w:rPr>
        <w:t>.</w:t>
      </w:r>
    </w:p>
    <w:p w:rsidRPr="00306588" w:rsidR="00AD6D7D" w:rsidP="00AD6D7D" w:rsidRDefault="00306588" w14:paraId="1D51E0E4" w14:textId="321942B5">
      <w:pPr>
        <w:pStyle w:val="BodyText"/>
        <w:spacing w:before="240" w:after="0" w:line="240" w:lineRule="auto"/>
        <w:jc w:val="both"/>
        <w:rPr>
          <w:rFonts w:asciiTheme="minorHAnsi" w:hAnsiTheme="minorHAnsi" w:cstheme="minorHAnsi"/>
          <w:b/>
          <w:bCs/>
          <w:shd w:val="clear" w:color="auto" w:fill="FFFFFF"/>
        </w:rPr>
      </w:pPr>
      <w:r>
        <w:rPr>
          <w:rFonts w:asciiTheme="minorHAnsi" w:hAnsiTheme="minorHAnsi" w:cstheme="minorHAnsi"/>
          <w:b/>
          <w:bCs/>
          <w:shd w:val="clear" w:color="auto" w:fill="FFFFFF"/>
        </w:rPr>
        <w:t>Strategic Planning for 2023 Underway</w:t>
      </w:r>
    </w:p>
    <w:p w:rsidR="00306588" w:rsidP="00AD6D7D" w:rsidRDefault="00306588" w14:paraId="21C0794C" w14:textId="77777777">
      <w:pPr>
        <w:jc w:val="both"/>
        <w:rPr>
          <w:rFonts w:asciiTheme="minorHAnsi" w:hAnsiTheme="minorHAnsi" w:eastAsiaTheme="minorEastAsia" w:cstheme="minorHAnsi"/>
        </w:rPr>
      </w:pPr>
    </w:p>
    <w:p w:rsidRPr="00306588" w:rsidR="00AD6D7D" w:rsidP="674DA5BF" w:rsidRDefault="00306588" w14:paraId="4A87B0C5" w14:textId="4B5707BF" w14:noSpellErr="1">
      <w:pPr>
        <w:jc w:val="both"/>
        <w:rPr>
          <w:rFonts w:ascii="Calibri" w:hAnsi="Calibri" w:eastAsia="" w:cs="Calibri" w:asciiTheme="minorAscii" w:hAnsiTheme="minorAscii" w:eastAsiaTheme="minorEastAsia" w:cstheme="minorAscii"/>
        </w:rPr>
      </w:pPr>
      <w:r w:rsidRPr="674DA5BF" w:rsidR="00306588">
        <w:rPr>
          <w:rFonts w:ascii="Calibri" w:hAnsi="Calibri" w:eastAsia="" w:cs="Calibri" w:asciiTheme="minorAscii" w:hAnsiTheme="minorAscii" w:eastAsiaTheme="minorEastAsia" w:cstheme="minorAscii"/>
        </w:rPr>
        <w:t>Element79 Gold</w:t>
      </w:r>
      <w:r w:rsidRPr="674DA5BF" w:rsidR="00AD6D7D">
        <w:rPr>
          <w:rFonts w:ascii="Calibri" w:hAnsi="Calibri" w:eastAsia="" w:cs="Calibri" w:asciiTheme="minorAscii" w:hAnsiTheme="minorAscii" w:eastAsiaTheme="minorEastAsia" w:cstheme="minorAscii"/>
        </w:rPr>
        <w:t xml:space="preserve"> continues to review financing options as well as</w:t>
      </w:r>
      <w:r w:rsidRPr="674DA5BF" w:rsidR="00306588">
        <w:rPr>
          <w:rFonts w:ascii="Calibri" w:hAnsi="Calibri" w:eastAsia="" w:cs="Calibri" w:asciiTheme="minorAscii" w:hAnsiTheme="minorAscii" w:eastAsiaTheme="minorEastAsia" w:cstheme="minorAscii"/>
        </w:rPr>
        <w:t xml:space="preserve"> explore</w:t>
      </w:r>
      <w:r w:rsidRPr="674DA5BF" w:rsidR="00AD6D7D">
        <w:rPr>
          <w:rFonts w:ascii="Calibri" w:hAnsi="Calibri" w:eastAsia="" w:cs="Calibri" w:asciiTheme="minorAscii" w:hAnsiTheme="minorAscii" w:eastAsiaTheme="minorEastAsia" w:cstheme="minorAscii"/>
        </w:rPr>
        <w:t xml:space="preserve"> sale and </w:t>
      </w:r>
      <w:r w:rsidRPr="674DA5BF" w:rsidR="00306588">
        <w:rPr>
          <w:rFonts w:ascii="Calibri" w:hAnsi="Calibri" w:eastAsia="" w:cs="Calibri" w:asciiTheme="minorAscii" w:hAnsiTheme="minorAscii" w:eastAsiaTheme="minorEastAsia" w:cstheme="minorAscii"/>
        </w:rPr>
        <w:t>j</w:t>
      </w:r>
      <w:r w:rsidRPr="674DA5BF" w:rsidR="00AD6D7D">
        <w:rPr>
          <w:rFonts w:ascii="Calibri" w:hAnsi="Calibri" w:eastAsia="" w:cs="Calibri" w:asciiTheme="minorAscii" w:hAnsiTheme="minorAscii" w:eastAsiaTheme="minorEastAsia" w:cstheme="minorAscii"/>
        </w:rPr>
        <w:t xml:space="preserve">oint </w:t>
      </w:r>
      <w:r w:rsidRPr="674DA5BF" w:rsidR="00306588">
        <w:rPr>
          <w:rFonts w:ascii="Calibri" w:hAnsi="Calibri" w:eastAsia="" w:cs="Calibri" w:asciiTheme="minorAscii" w:hAnsiTheme="minorAscii" w:eastAsiaTheme="minorEastAsia" w:cstheme="minorAscii"/>
        </w:rPr>
        <w:t>v</w:t>
      </w:r>
      <w:r w:rsidRPr="674DA5BF" w:rsidR="00AD6D7D">
        <w:rPr>
          <w:rFonts w:ascii="Calibri" w:hAnsi="Calibri" w:eastAsia="" w:cs="Calibri" w:asciiTheme="minorAscii" w:hAnsiTheme="minorAscii" w:eastAsiaTheme="minorEastAsia" w:cstheme="minorAscii"/>
        </w:rPr>
        <w:t xml:space="preserve">enture </w:t>
      </w:r>
      <w:r w:rsidRPr="674DA5BF" w:rsidR="00306588">
        <w:rPr>
          <w:rFonts w:ascii="Calibri" w:hAnsi="Calibri" w:eastAsia="" w:cs="Calibri" w:asciiTheme="minorAscii" w:hAnsiTheme="minorAscii" w:eastAsiaTheme="minorEastAsia" w:cstheme="minorAscii"/>
        </w:rPr>
        <w:t>opportunities</w:t>
      </w:r>
      <w:r w:rsidRPr="674DA5BF" w:rsidR="00AD6D7D">
        <w:rPr>
          <w:rFonts w:ascii="Calibri" w:hAnsi="Calibri" w:eastAsia="" w:cs="Calibri" w:asciiTheme="minorAscii" w:hAnsiTheme="minorAscii" w:eastAsiaTheme="minorEastAsia" w:cstheme="minorAscii"/>
        </w:rPr>
        <w:t xml:space="preserve"> f</w:t>
      </w:r>
      <w:r w:rsidRPr="674DA5BF" w:rsidR="00306588">
        <w:rPr>
          <w:rFonts w:ascii="Calibri" w:hAnsi="Calibri" w:eastAsia="" w:cs="Calibri" w:asciiTheme="minorAscii" w:hAnsiTheme="minorAscii" w:eastAsiaTheme="minorEastAsia" w:cstheme="minorAscii"/>
        </w:rPr>
        <w:t>rom the Company’s</w:t>
      </w:r>
      <w:r w:rsidRPr="674DA5BF" w:rsidR="00AD6D7D">
        <w:rPr>
          <w:rFonts w:ascii="Calibri" w:hAnsi="Calibri" w:eastAsia="" w:cs="Calibri" w:asciiTheme="minorAscii" w:hAnsiTheme="minorAscii" w:eastAsiaTheme="minorEastAsia" w:cstheme="minorAscii"/>
        </w:rPr>
        <w:t xml:space="preserve"> </w:t>
      </w:r>
      <w:r w:rsidRPr="674DA5BF" w:rsidR="00432627">
        <w:rPr>
          <w:rFonts w:ascii="Calibri" w:hAnsi="Calibri" w:eastAsia="" w:cs="Calibri" w:asciiTheme="minorAscii" w:hAnsiTheme="minorAscii" w:eastAsiaTheme="minorEastAsia" w:cstheme="minorAscii"/>
        </w:rPr>
        <w:t xml:space="preserve">extensive </w:t>
      </w:r>
      <w:r w:rsidRPr="674DA5BF" w:rsidR="00AD6D7D">
        <w:rPr>
          <w:rFonts w:ascii="Calibri" w:hAnsi="Calibri" w:eastAsia="" w:cs="Calibri" w:asciiTheme="minorAscii" w:hAnsiTheme="minorAscii" w:eastAsiaTheme="minorEastAsia" w:cstheme="minorAscii"/>
        </w:rPr>
        <w:t xml:space="preserve">Canadian and Nevada portfolios.  </w:t>
      </w:r>
    </w:p>
    <w:p w:rsidRPr="00306588" w:rsidR="00AD6D7D" w:rsidP="674DA5BF" w:rsidRDefault="00AD6D7D" w14:paraId="52955ED7" w14:textId="5B0FD551" w14:noSpellErr="1">
      <w:pPr>
        <w:pStyle w:val="Normal"/>
        <w:jc w:val="both"/>
        <w:rPr>
          <w:rFonts w:ascii="Calibri" w:hAnsi="Calibri" w:eastAsia="" w:cs="Calibri" w:asciiTheme="minorAscii" w:hAnsiTheme="minorAscii" w:eastAsiaTheme="minorEastAsia" w:cstheme="minorAscii"/>
        </w:rPr>
      </w:pPr>
      <w:r w:rsidRPr="3E270E66" w:rsidR="00AD6D7D">
        <w:rPr>
          <w:rFonts w:ascii="Calibri" w:hAnsi="Calibri" w:eastAsia="" w:cs="Calibri" w:asciiTheme="minorAscii" w:hAnsiTheme="minorAscii" w:eastAsiaTheme="minorEastAsia" w:cstheme="minorAscii"/>
        </w:rPr>
        <w:t xml:space="preserve"> </w:t>
      </w:r>
    </w:p>
    <w:p w:rsidR="00B018DE" w:rsidP="674DA5BF" w:rsidRDefault="00B018DE" w14:paraId="789DDB5E" w14:textId="2BC3AC6B" w14:noSpellErr="1">
      <w:pPr>
        <w:jc w:val="both"/>
        <w:rPr>
          <w:rFonts w:ascii="Calibri" w:hAnsi="Calibri" w:eastAsia="" w:cs="Calibri" w:asciiTheme="minorAscii" w:hAnsiTheme="minorAscii" w:eastAsiaTheme="minorEastAsia" w:cstheme="minorAscii"/>
        </w:rPr>
      </w:pPr>
      <w:r w:rsidRPr="674DA5BF" w:rsidR="00B018DE">
        <w:rPr>
          <w:rFonts w:ascii="Calibri" w:hAnsi="Calibri" w:eastAsia="" w:cs="Calibri" w:asciiTheme="minorAscii" w:hAnsiTheme="minorAscii" w:eastAsiaTheme="minorEastAsia" w:cstheme="minorAscii"/>
        </w:rPr>
        <w:t>The Company has taken stock of the large dataset and drill core li</w:t>
      </w:r>
      <w:r w:rsidRPr="674DA5BF" w:rsidR="00B018DE">
        <w:rPr>
          <w:rFonts w:ascii="Calibri" w:hAnsi="Calibri" w:eastAsia="" w:cs="Calibri" w:asciiTheme="minorAscii" w:hAnsiTheme="minorAscii" w:eastAsiaTheme="minorEastAsia" w:cstheme="minorAscii"/>
        </w:rPr>
        <w:t xml:space="preserve">brary that was inherited with the Maverick springs project and plans to leverage </w:t>
      </w:r>
      <w:r w:rsidRPr="674DA5BF" w:rsidR="00B018DE">
        <w:rPr>
          <w:rFonts w:ascii="Calibri" w:hAnsi="Calibri" w:eastAsia="" w:cs="Calibri" w:asciiTheme="minorAscii" w:hAnsiTheme="minorAscii" w:eastAsiaTheme="minorEastAsia" w:cstheme="minorAscii"/>
        </w:rPr>
        <w:t xml:space="preserve">this dataset. A </w:t>
      </w:r>
      <w:r w:rsidRPr="674DA5BF" w:rsidR="00B018DE">
        <w:rPr>
          <w:rFonts w:ascii="Calibri" w:hAnsi="Calibri" w:eastAsia="" w:cs="Calibri" w:asciiTheme="minorAscii" w:hAnsiTheme="minorAscii" w:eastAsiaTheme="minorEastAsia" w:cstheme="minorAscii"/>
        </w:rPr>
        <w:t>re-logging, re</w:t>
      </w:r>
      <w:r w:rsidRPr="674DA5BF" w:rsidR="00B018DE">
        <w:rPr>
          <w:rFonts w:ascii="Calibri" w:hAnsi="Calibri" w:eastAsia="" w:cs="Calibri" w:asciiTheme="minorAscii" w:hAnsiTheme="minorAscii" w:eastAsiaTheme="minorEastAsia" w:cstheme="minorAscii"/>
        </w:rPr>
        <w:t>-</w:t>
      </w:r>
      <w:r w:rsidRPr="674DA5BF" w:rsidR="00B018DE">
        <w:rPr>
          <w:rFonts w:ascii="Calibri" w:hAnsi="Calibri" w:eastAsia="" w:cs="Calibri" w:asciiTheme="minorAscii" w:hAnsiTheme="minorAscii" w:eastAsiaTheme="minorEastAsia" w:cstheme="minorAscii"/>
        </w:rPr>
        <w:t>sampling and petrographic program is planned for the new year.</w:t>
      </w:r>
      <w:r w:rsidRPr="674DA5BF" w:rsidR="00B018DE">
        <w:rPr>
          <w:rFonts w:ascii="Calibri" w:hAnsi="Calibri" w:eastAsia="" w:cs="Calibri" w:asciiTheme="minorAscii" w:hAnsiTheme="minorAscii" w:eastAsiaTheme="minorEastAsia" w:cstheme="minorAscii"/>
        </w:rPr>
        <w:t xml:space="preserve"> To assist is refining future drill targets on the property.</w:t>
      </w:r>
    </w:p>
    <w:p w:rsidR="00B018DE" w:rsidP="00306588" w:rsidRDefault="00B018DE" w14:paraId="13DB2403" w14:textId="77777777">
      <w:pPr>
        <w:jc w:val="both"/>
        <w:rPr>
          <w:rFonts w:asciiTheme="minorHAnsi" w:hAnsiTheme="minorHAnsi" w:eastAsiaTheme="minorEastAsia" w:cstheme="minorHAnsi"/>
        </w:rPr>
      </w:pPr>
    </w:p>
    <w:p w:rsidR="00AD6D7D" w:rsidP="00306588" w:rsidRDefault="00AD6D7D" w14:paraId="47643FD0" w14:textId="3126A77F">
      <w:pPr>
        <w:jc w:val="both"/>
        <w:rPr>
          <w:rFonts w:asciiTheme="minorHAnsi" w:hAnsiTheme="minorHAnsi" w:eastAsiaTheme="minorEastAsia" w:cstheme="minorHAnsi"/>
        </w:rPr>
      </w:pPr>
      <w:r w:rsidRPr="00306588">
        <w:rPr>
          <w:rFonts w:asciiTheme="minorHAnsi" w:hAnsiTheme="minorHAnsi" w:eastAsiaTheme="minorEastAsia" w:cstheme="minorHAnsi"/>
        </w:rPr>
        <w:t xml:space="preserve">Further planning is being completed on </w:t>
      </w:r>
      <w:r w:rsidR="00306588">
        <w:rPr>
          <w:rFonts w:asciiTheme="minorHAnsi" w:hAnsiTheme="minorHAnsi" w:eastAsiaTheme="minorEastAsia" w:cstheme="minorHAnsi"/>
        </w:rPr>
        <w:t>the Company’s</w:t>
      </w:r>
      <w:r w:rsidRPr="00306588">
        <w:rPr>
          <w:rFonts w:asciiTheme="minorHAnsi" w:hAnsiTheme="minorHAnsi" w:eastAsiaTheme="minorEastAsia" w:cstheme="minorHAnsi"/>
        </w:rPr>
        <w:t xml:space="preserve"> Peruvian Portfolio, with the intention of beginning site work in Calendar Q1, 2023 leading up to ore extraction. </w:t>
      </w:r>
    </w:p>
    <w:p w:rsidRPr="00306588" w:rsidR="00306588" w:rsidP="00306588" w:rsidRDefault="00306588" w14:paraId="7F1BEAF8" w14:textId="77777777">
      <w:pPr>
        <w:jc w:val="both"/>
        <w:rPr>
          <w:rFonts w:asciiTheme="minorHAnsi" w:hAnsiTheme="minorHAnsi" w:eastAsiaTheme="minorEastAsia" w:cstheme="minorHAnsi"/>
        </w:rPr>
      </w:pPr>
    </w:p>
    <w:p w:rsidR="00306588" w:rsidP="674DA5BF" w:rsidRDefault="00AD6D7D" w14:paraId="4A374A04" w14:textId="74125CFC">
      <w:pPr>
        <w:jc w:val="both"/>
        <w:rPr>
          <w:rFonts w:ascii="Calibri" w:hAnsi="Calibri" w:eastAsia="" w:cs="Calibri" w:asciiTheme="minorAscii" w:hAnsiTheme="minorAscii" w:eastAsiaTheme="minorEastAsia" w:cstheme="minorAscii"/>
        </w:rPr>
      </w:pPr>
      <w:r w:rsidRPr="3E270E66" w:rsidR="00AD6D7D">
        <w:rPr>
          <w:rFonts w:ascii="Calibri" w:hAnsi="Calibri" w:eastAsia="" w:cs="Calibri" w:asciiTheme="minorAscii" w:hAnsiTheme="minorAscii" w:eastAsiaTheme="minorEastAsia" w:cstheme="minorAscii"/>
        </w:rPr>
        <w:t xml:space="preserve">“While this time of year is typically where many </w:t>
      </w:r>
      <w:r w:rsidRPr="3E270E66" w:rsidR="00AD6D7D">
        <w:rPr>
          <w:rFonts w:ascii="Calibri" w:hAnsi="Calibri" w:eastAsia="" w:cs="Calibri" w:asciiTheme="minorAscii" w:hAnsiTheme="minorAscii" w:eastAsiaTheme="minorEastAsia" w:cstheme="minorAscii"/>
        </w:rPr>
        <w:t>slow down, we are running flat out on strategic planning</w:t>
      </w:r>
      <w:r w:rsidRPr="3E270E66" w:rsidR="68CD37D7">
        <w:rPr>
          <w:rFonts w:ascii="Calibri" w:hAnsi="Calibri" w:eastAsia="" w:cs="Calibri" w:asciiTheme="minorAscii" w:hAnsiTheme="minorAscii" w:eastAsiaTheme="minorEastAsia" w:cstheme="minorAscii"/>
        </w:rPr>
        <w:t xml:space="preserve"> and</w:t>
      </w:r>
      <w:r w:rsidRPr="3E270E66" w:rsidR="00AD6D7D">
        <w:rPr>
          <w:rFonts w:ascii="Calibri" w:hAnsi="Calibri" w:eastAsia="" w:cs="Calibri" w:asciiTheme="minorAscii" w:hAnsiTheme="minorAscii" w:eastAsiaTheme="minorEastAsia" w:cstheme="minorAscii"/>
        </w:rPr>
        <w:t xml:space="preserve"> corporate finance</w:t>
      </w:r>
      <w:r w:rsidRPr="3E270E66" w:rsidR="00AD6D7D">
        <w:rPr>
          <w:rFonts w:ascii="Calibri" w:hAnsi="Calibri" w:eastAsia="" w:cs="Calibri" w:asciiTheme="minorAscii" w:hAnsiTheme="minorAscii" w:eastAsiaTheme="minorEastAsia" w:cstheme="minorAscii"/>
        </w:rPr>
        <w:t xml:space="preserve">.  It has been an exciting 2022 calendar year and we have </w:t>
      </w:r>
      <w:r w:rsidRPr="3E270E66" w:rsidR="00B018DE">
        <w:rPr>
          <w:rFonts w:ascii="Calibri" w:hAnsi="Calibri" w:eastAsia="" w:cs="Calibri" w:asciiTheme="minorAscii" w:hAnsiTheme="minorAscii" w:eastAsiaTheme="minorEastAsia" w:cstheme="minorAscii"/>
        </w:rPr>
        <w:t xml:space="preserve">grown </w:t>
      </w:r>
      <w:r w:rsidRPr="3E270E66" w:rsidR="4771D151">
        <w:rPr>
          <w:rFonts w:ascii="Calibri" w:hAnsi="Calibri" w:eastAsia="" w:cs="Calibri" w:asciiTheme="minorAscii" w:hAnsiTheme="minorAscii" w:eastAsiaTheme="minorEastAsia" w:cstheme="minorAscii"/>
        </w:rPr>
        <w:t>substantial</w:t>
      </w:r>
      <w:r w:rsidRPr="3E270E66" w:rsidR="00B018DE">
        <w:rPr>
          <w:rFonts w:ascii="Calibri" w:hAnsi="Calibri" w:eastAsia="" w:cs="Calibri" w:asciiTheme="minorAscii" w:hAnsiTheme="minorAscii" w:eastAsiaTheme="minorEastAsia" w:cstheme="minorAscii"/>
        </w:rPr>
        <w:t xml:space="preserve"> </w:t>
      </w:r>
      <w:r w:rsidRPr="3E270E66" w:rsidR="5BD66412">
        <w:rPr>
          <w:rFonts w:ascii="Calibri" w:hAnsi="Calibri" w:eastAsia="" w:cs="Calibri" w:asciiTheme="minorAscii" w:hAnsiTheme="minorAscii" w:eastAsiaTheme="minorEastAsia" w:cstheme="minorAscii"/>
        </w:rPr>
        <w:t>achieved much</w:t>
      </w:r>
      <w:r w:rsidRPr="3E270E66" w:rsidR="00AD6D7D">
        <w:rPr>
          <w:rFonts w:ascii="Calibri" w:hAnsi="Calibri" w:eastAsia="" w:cs="Calibri" w:asciiTheme="minorAscii" w:hAnsiTheme="minorAscii" w:eastAsiaTheme="minorEastAsia" w:cstheme="minorAscii"/>
        </w:rPr>
        <w:t xml:space="preserve"> in the 15 months since </w:t>
      </w:r>
      <w:r w:rsidRPr="3E270E66" w:rsidR="00AD6D7D">
        <w:rPr>
          <w:rFonts w:ascii="Calibri" w:hAnsi="Calibri" w:eastAsia="" w:cs="Calibri" w:asciiTheme="minorAscii" w:hAnsiTheme="minorAscii" w:eastAsiaTheme="minorEastAsia" w:cstheme="minorAscii"/>
        </w:rPr>
        <w:t xml:space="preserve">our IPO last August.  </w:t>
      </w:r>
      <w:r w:rsidRPr="3E270E66" w:rsidR="00B018DE">
        <w:rPr>
          <w:rFonts w:ascii="Calibri" w:hAnsi="Calibri" w:eastAsia="" w:cs="Calibri" w:asciiTheme="minorAscii" w:hAnsiTheme="minorAscii" w:eastAsiaTheme="minorEastAsia" w:cstheme="minorAscii"/>
        </w:rPr>
        <w:t xml:space="preserve">Much of this is down to </w:t>
      </w:r>
      <w:r w:rsidRPr="3E270E66" w:rsidR="00B018DE">
        <w:rPr>
          <w:rFonts w:ascii="Calibri" w:hAnsi="Calibri" w:eastAsia="" w:cs="Calibri" w:asciiTheme="minorAscii" w:hAnsiTheme="minorAscii" w:eastAsiaTheme="minorEastAsia" w:cstheme="minorAscii"/>
        </w:rPr>
        <w:t>the</w:t>
      </w:r>
      <w:r w:rsidRPr="3E270E66" w:rsidR="00B018DE">
        <w:rPr>
          <w:rFonts w:ascii="Calibri" w:hAnsi="Calibri" w:eastAsia="" w:cs="Calibri" w:asciiTheme="minorAscii" w:hAnsiTheme="minorAscii" w:eastAsiaTheme="minorEastAsia" w:cstheme="minorAscii"/>
        </w:rPr>
        <w:t xml:space="preserve"> great work of our </w:t>
      </w:r>
      <w:r w:rsidRPr="3E270E66" w:rsidR="00AD6D7D">
        <w:rPr>
          <w:rFonts w:ascii="Calibri" w:hAnsi="Calibri" w:eastAsia="" w:cs="Calibri" w:asciiTheme="minorAscii" w:hAnsiTheme="minorAscii" w:eastAsiaTheme="minorEastAsia" w:cstheme="minorAscii"/>
        </w:rPr>
        <w:t>amazing team</w:t>
      </w:r>
      <w:r w:rsidRPr="3E270E66" w:rsidR="00AD6D7D">
        <w:rPr>
          <w:rFonts w:ascii="Calibri" w:hAnsi="Calibri" w:eastAsia="" w:cs="Calibri" w:asciiTheme="minorAscii" w:hAnsiTheme="minorAscii" w:eastAsiaTheme="minorEastAsia" w:cstheme="minorAscii"/>
        </w:rPr>
        <w:t xml:space="preserve">.  The Company’s core </w:t>
      </w:r>
      <w:r w:rsidRPr="3E270E66" w:rsidR="00AD6D7D">
        <w:rPr>
          <w:rFonts w:ascii="Calibri" w:hAnsi="Calibri" w:eastAsia="" w:cs="Calibri" w:asciiTheme="minorAscii" w:hAnsiTheme="minorAscii" w:eastAsiaTheme="minorEastAsia" w:cstheme="minorAscii"/>
        </w:rPr>
        <w:t xml:space="preserve">focus is to </w:t>
      </w:r>
      <w:r w:rsidRPr="3E270E66" w:rsidR="00B018DE">
        <w:rPr>
          <w:rFonts w:ascii="Calibri" w:hAnsi="Calibri" w:eastAsia="" w:cs="Calibri" w:asciiTheme="minorAscii" w:hAnsiTheme="minorAscii" w:eastAsiaTheme="minorEastAsia" w:cstheme="minorAscii"/>
        </w:rPr>
        <w:t>commence</w:t>
      </w:r>
      <w:r w:rsidRPr="3E270E66" w:rsidR="00AD6D7D">
        <w:rPr>
          <w:rFonts w:ascii="Calibri" w:hAnsi="Calibri" w:eastAsia="" w:cs="Calibri" w:asciiTheme="minorAscii" w:hAnsiTheme="minorAscii" w:eastAsiaTheme="minorEastAsia" w:cstheme="minorAscii"/>
        </w:rPr>
        <w:t xml:space="preserve"> </w:t>
      </w:r>
      <w:r w:rsidRPr="3E270E66" w:rsidR="0226F144">
        <w:rPr>
          <w:rFonts w:ascii="Calibri" w:hAnsi="Calibri" w:eastAsia="" w:cs="Calibri" w:asciiTheme="minorAscii" w:hAnsiTheme="minorAscii" w:eastAsiaTheme="minorEastAsia" w:cstheme="minorAscii"/>
        </w:rPr>
        <w:t>preliminary production</w:t>
      </w:r>
      <w:r w:rsidRPr="3E270E66" w:rsidR="00AD6D7D">
        <w:rPr>
          <w:rFonts w:ascii="Calibri" w:hAnsi="Calibri" w:eastAsia="" w:cs="Calibri" w:asciiTheme="minorAscii" w:hAnsiTheme="minorAscii" w:eastAsiaTheme="minorEastAsia" w:cstheme="minorAscii"/>
        </w:rPr>
        <w:t xml:space="preserve"> </w:t>
      </w:r>
      <w:r w:rsidRPr="3E270E66" w:rsidR="00AD6D7D">
        <w:rPr>
          <w:rFonts w:ascii="Calibri" w:hAnsi="Calibri" w:eastAsia="" w:cs="Calibri" w:asciiTheme="minorAscii" w:hAnsiTheme="minorAscii" w:eastAsiaTheme="minorEastAsia" w:cstheme="minorAscii"/>
        </w:rPr>
        <w:t xml:space="preserve">in 2023, with the design of employing the non-dilutive cash flow generated from those operations </w:t>
      </w:r>
      <w:r w:rsidRPr="3E270E66" w:rsidR="00AD6D7D">
        <w:rPr>
          <w:rFonts w:ascii="Calibri" w:hAnsi="Calibri" w:eastAsia="" w:cs="Calibri" w:asciiTheme="minorAscii" w:hAnsiTheme="minorAscii" w:eastAsiaTheme="minorEastAsia" w:cstheme="minorAscii"/>
          <w:color w:val="000000" w:themeColor="text1" w:themeTint="FF" w:themeShade="FF"/>
        </w:rPr>
        <w:t>on our two Peruvian properties</w:t>
      </w:r>
      <w:r w:rsidRPr="3E270E66" w:rsidR="00AD6D7D">
        <w:rPr>
          <w:rFonts w:ascii="Calibri" w:hAnsi="Calibri" w:eastAsia="" w:cs="Calibri" w:asciiTheme="minorAscii" w:hAnsiTheme="minorAscii" w:eastAsiaTheme="minorEastAsia" w:cstheme="minorAscii"/>
          <w:color w:val="000000" w:themeColor="text1" w:themeTint="FF" w:themeShade="FF"/>
        </w:rPr>
        <w:t xml:space="preserve">. This has been a </w:t>
      </w:r>
      <w:r w:rsidRPr="3E270E66" w:rsidR="00AD6D7D">
        <w:rPr>
          <w:rFonts w:ascii="Calibri" w:hAnsi="Calibri" w:eastAsia="" w:cs="Calibri" w:asciiTheme="minorAscii" w:hAnsiTheme="minorAscii" w:eastAsiaTheme="minorEastAsia" w:cstheme="minorAscii"/>
        </w:rPr>
        <w:t>core goal of our whole team and we are both motivated and excited about the progress we are making daily</w:t>
      </w:r>
      <w:r w:rsidRPr="3E270E66" w:rsidR="00306588">
        <w:rPr>
          <w:rFonts w:ascii="Calibri" w:hAnsi="Calibri" w:eastAsia="" w:cs="Calibri" w:asciiTheme="minorAscii" w:hAnsiTheme="minorAscii" w:eastAsiaTheme="minorEastAsia" w:cstheme="minorAscii"/>
        </w:rPr>
        <w:t xml:space="preserve">”, quotes Element79 Gold CEO, James Tworek. </w:t>
      </w:r>
    </w:p>
    <w:p w:rsidR="00306588" w:rsidP="00AD6D7D" w:rsidRDefault="00306588" w14:paraId="3D87B3DB" w14:textId="77777777">
      <w:pPr>
        <w:jc w:val="both"/>
        <w:rPr>
          <w:rFonts w:asciiTheme="minorHAnsi" w:hAnsiTheme="minorHAnsi" w:eastAsiaTheme="minorEastAsia" w:cstheme="minorHAnsi"/>
        </w:rPr>
      </w:pPr>
    </w:p>
    <w:p w:rsidR="00306588" w:rsidP="00AD6D7D" w:rsidRDefault="00AD6D7D" w14:paraId="7070ACFF" w14:textId="77777777">
      <w:pPr>
        <w:jc w:val="both"/>
        <w:rPr>
          <w:rFonts w:asciiTheme="minorHAnsi" w:hAnsiTheme="minorHAnsi" w:eastAsiaTheme="minorEastAsia" w:cstheme="minorHAnsi"/>
          <w:b/>
          <w:bCs/>
        </w:rPr>
      </w:pPr>
      <w:r w:rsidRPr="00306588">
        <w:rPr>
          <w:rFonts w:asciiTheme="minorHAnsi" w:hAnsiTheme="minorHAnsi" w:eastAsiaTheme="minorEastAsia" w:cstheme="minorHAnsi"/>
          <w:b/>
          <w:bCs/>
        </w:rPr>
        <w:t>Updates to Board of Directors</w:t>
      </w:r>
    </w:p>
    <w:p w:rsidR="00306588" w:rsidP="00AD6D7D" w:rsidRDefault="00306588" w14:paraId="62BD2E29" w14:textId="77777777">
      <w:pPr>
        <w:jc w:val="both"/>
        <w:rPr>
          <w:rFonts w:asciiTheme="minorHAnsi" w:hAnsiTheme="minorHAnsi" w:eastAsiaTheme="minorEastAsia" w:cstheme="minorHAnsi"/>
          <w:b/>
          <w:bCs/>
        </w:rPr>
      </w:pPr>
    </w:p>
    <w:p w:rsidRPr="00306588" w:rsidR="00306588" w:rsidP="674DA5BF" w:rsidRDefault="00AD6D7D" w14:paraId="43B19AD2" w14:textId="4CE65D8D">
      <w:pPr>
        <w:jc w:val="both"/>
        <w:rPr>
          <w:rFonts w:ascii="Calibri" w:hAnsi="Calibri" w:eastAsia="" w:cs="Calibri" w:asciiTheme="minorAscii" w:hAnsiTheme="minorAscii" w:eastAsiaTheme="minorEastAsia" w:cstheme="minorAscii"/>
        </w:rPr>
      </w:pPr>
      <w:r w:rsidRPr="674DA5BF" w:rsidR="00AD6D7D">
        <w:rPr>
          <w:rFonts w:ascii="Calibri" w:hAnsi="Calibri" w:eastAsia="" w:cs="Calibri" w:asciiTheme="minorAscii" w:hAnsiTheme="minorAscii" w:eastAsiaTheme="minorEastAsia" w:cstheme="minorAscii"/>
        </w:rPr>
        <w:t xml:space="preserve">The Company would like to announce that effective immediately, Mr. Konstantin Lichtenwald will be stepping </w:t>
      </w:r>
      <w:r w:rsidRPr="674DA5BF" w:rsidR="73672578">
        <w:rPr>
          <w:rFonts w:ascii="Calibri" w:hAnsi="Calibri" w:eastAsia="" w:cs="Calibri" w:asciiTheme="minorAscii" w:hAnsiTheme="minorAscii" w:eastAsiaTheme="minorEastAsia" w:cstheme="minorAscii"/>
        </w:rPr>
        <w:t xml:space="preserve">down </w:t>
      </w:r>
      <w:r w:rsidRPr="674DA5BF" w:rsidR="00AD6D7D">
        <w:rPr>
          <w:rFonts w:ascii="Calibri" w:hAnsi="Calibri" w:eastAsia="" w:cs="Calibri" w:asciiTheme="minorAscii" w:hAnsiTheme="minorAscii" w:eastAsiaTheme="minorEastAsia" w:cstheme="minorAscii"/>
        </w:rPr>
        <w:t xml:space="preserve">from the </w:t>
      </w:r>
      <w:r w:rsidRPr="674DA5BF" w:rsidR="73CC67BC">
        <w:rPr>
          <w:rFonts w:ascii="Calibri" w:hAnsi="Calibri" w:eastAsia="" w:cs="Calibri" w:asciiTheme="minorAscii" w:hAnsiTheme="minorAscii" w:eastAsiaTheme="minorEastAsia" w:cstheme="minorAscii"/>
        </w:rPr>
        <w:t>board.</w:t>
      </w:r>
      <w:r w:rsidRPr="674DA5BF" w:rsidR="00AD6D7D">
        <w:rPr>
          <w:rFonts w:ascii="Calibri" w:hAnsi="Calibri" w:eastAsia="" w:cs="Calibri" w:asciiTheme="minorAscii" w:hAnsiTheme="minorAscii" w:eastAsiaTheme="minorEastAsia" w:cstheme="minorAscii"/>
        </w:rPr>
        <w:t xml:space="preserve"> Mr. Lichtenwald has served as a member of the board of directors with the Company since its inception, and has assisted with various listing and strategic advisory services since then. Element79 Gold is pleased to report that he will remain engaged as an adviser to the board of directors.  </w:t>
      </w:r>
    </w:p>
    <w:p w:rsidRPr="00306588" w:rsidR="004843D6" w:rsidP="42852505" w:rsidRDefault="25923AB3" w14:paraId="5C22841C" w14:textId="00EBD9BF">
      <w:pPr>
        <w:pStyle w:val="BodyText"/>
        <w:spacing w:before="240" w:after="0" w:line="240" w:lineRule="auto"/>
        <w:jc w:val="both"/>
        <w:rPr>
          <w:rFonts w:asciiTheme="minorHAnsi" w:hAnsiTheme="minorHAnsi" w:cstheme="minorHAnsi"/>
          <w:b/>
          <w:bCs/>
        </w:rPr>
      </w:pPr>
      <w:r w:rsidRPr="00306588">
        <w:rPr>
          <w:rFonts w:asciiTheme="minorHAnsi" w:hAnsiTheme="minorHAnsi" w:cstheme="minorHAnsi"/>
          <w:b/>
          <w:bCs/>
        </w:rPr>
        <w:t>About Element79 Gold</w:t>
      </w:r>
    </w:p>
    <w:p w:rsidRPr="00306588" w:rsidR="006A6A10" w:rsidP="674DA5BF" w:rsidRDefault="00000000" w14:paraId="49A0C9F6" w14:textId="5E9C0308">
      <w:pPr>
        <w:pStyle w:val="BodyText"/>
        <w:spacing w:before="240" w:after="0" w:line="240" w:lineRule="auto"/>
        <w:jc w:val="both"/>
        <w:rPr>
          <w:rStyle w:val="Hyperlink"/>
          <w:rFonts w:ascii="Calibri" w:hAnsi="Calibri" w:cs="Calibri" w:asciiTheme="minorAscii" w:hAnsiTheme="minorAscii" w:cstheme="minorAscii"/>
          <w:color w:val="auto"/>
        </w:rPr>
      </w:pPr>
      <w:r w:rsidRPr="3E270E66" w:rsidR="00000000">
        <w:rPr>
          <w:rFonts w:ascii="Calibri" w:hAnsi="Calibri" w:cs="Calibri" w:asciiTheme="minorAscii" w:hAnsiTheme="minorAscii" w:cstheme="minorAscii"/>
        </w:rPr>
        <w:t>Element79 Gold is a mineral exploration company focused on the acquisition, exploration and development of mining properties for gold and associated metals. Element79 Gold has acquired its flagship Maverick Springs Project located in the famous gold mining district of northeastern Nevada, USA, between the Elko and White Pine Counties, where it has recently completed a 43-101-compliant, pit-constrained mineral resource estimate reflecting an Inferred resource of 3.71 million ounces of gold equivalent* “</w:t>
      </w:r>
      <w:proofErr w:type="spellStart"/>
      <w:r w:rsidRPr="3E270E66" w:rsidR="00000000">
        <w:rPr>
          <w:rFonts w:ascii="Calibri" w:hAnsi="Calibri" w:cs="Calibri" w:asciiTheme="minorAscii" w:hAnsiTheme="minorAscii" w:cstheme="minorAscii"/>
        </w:rPr>
        <w:t>AuEq</w:t>
      </w:r>
      <w:proofErr w:type="spellEnd"/>
      <w:r w:rsidRPr="3E270E66" w:rsidR="00000000">
        <w:rPr>
          <w:rFonts w:ascii="Calibri" w:hAnsi="Calibri" w:cs="Calibri" w:asciiTheme="minorAscii" w:hAnsiTheme="minorAscii" w:cstheme="minorAscii"/>
        </w:rPr>
        <w:t xml:space="preserve">” at a grade of 0.92 g/t </w:t>
      </w:r>
      <w:proofErr w:type="spellStart"/>
      <w:r w:rsidRPr="3E270E66" w:rsidR="00000000">
        <w:rPr>
          <w:rFonts w:ascii="Calibri" w:hAnsi="Calibri" w:cs="Calibri" w:asciiTheme="minorAscii" w:hAnsiTheme="minorAscii" w:cstheme="minorAscii"/>
        </w:rPr>
        <w:t>AuEq</w:t>
      </w:r>
      <w:proofErr w:type="spellEnd"/>
      <w:r w:rsidRPr="3E270E66" w:rsidR="00000000">
        <w:rPr>
          <w:rFonts w:ascii="Calibri" w:hAnsi="Calibri" w:cs="Calibri" w:asciiTheme="minorAscii" w:hAnsiTheme="minorAscii" w:cstheme="minorAscii"/>
        </w:rPr>
        <w:t xml:space="preserve"> (0.34 g/t Au and 43.4 g/t Ag)) with an effective date of </w:t>
      </w:r>
      <w:r w:rsidRPr="3E270E66" w:rsidR="00C930AE">
        <w:rPr>
          <w:rFonts w:ascii="Calibri" w:hAnsi="Calibri" w:cs="Calibri" w:asciiTheme="minorAscii" w:hAnsiTheme="minorAscii" w:cstheme="minorAscii"/>
        </w:rPr>
        <w:t>Oct. 7</w:t>
      </w:r>
      <w:r w:rsidRPr="3E270E66" w:rsidR="00000000">
        <w:rPr>
          <w:rFonts w:ascii="Calibri" w:hAnsi="Calibri" w:cs="Calibri" w:asciiTheme="minorAscii" w:hAnsiTheme="minorAscii" w:cstheme="minorAscii"/>
        </w:rPr>
        <w:t>, 202</w:t>
      </w:r>
      <w:r w:rsidRPr="3E270E66" w:rsidR="00432627">
        <w:rPr>
          <w:rFonts w:ascii="Calibri" w:hAnsi="Calibri" w:cs="Calibri" w:asciiTheme="minorAscii" w:hAnsiTheme="minorAscii" w:cstheme="minorAscii"/>
        </w:rPr>
        <w:t>1</w:t>
      </w:r>
      <w:r w:rsidRPr="3E270E66" w:rsidR="00000000">
        <w:rPr>
          <w:rFonts w:ascii="Calibri" w:hAnsi="Calibri" w:cs="Calibri" w:asciiTheme="minorAscii" w:hAnsiTheme="minorAscii" w:cstheme="minorAscii"/>
        </w:rPr>
        <w:t xml:space="preserve"> (see news release </w:t>
      </w:r>
      <w:r w:rsidRPr="3E270E66" w:rsidR="00C930AE">
        <w:rPr>
          <w:rFonts w:ascii="Calibri" w:hAnsi="Calibri" w:cs="Calibri" w:asciiTheme="minorAscii" w:hAnsiTheme="minorAscii" w:cstheme="minorAscii"/>
        </w:rPr>
        <w:t xml:space="preserve">October </w:t>
      </w:r>
      <w:r w:rsidRPr="3E270E66" w:rsidR="00C930AE">
        <w:rPr>
          <w:rFonts w:ascii="Calibri" w:hAnsi="Calibri" w:cs="Calibri" w:asciiTheme="minorAscii" w:hAnsiTheme="minorAscii" w:cstheme="minorAscii"/>
        </w:rPr>
        <w:t>20</w:t>
      </w:r>
      <w:r w:rsidRPr="3E270E66" w:rsidR="00C930AE">
        <w:rPr>
          <w:rFonts w:ascii="Calibri" w:hAnsi="Calibri" w:cs="Calibri" w:asciiTheme="minorAscii" w:hAnsiTheme="minorAscii" w:cstheme="minorAscii"/>
        </w:rPr>
        <w:t xml:space="preserve">, </w:t>
      </w:r>
      <w:r w:rsidRPr="3E270E66" w:rsidR="00000000">
        <w:rPr>
          <w:rFonts w:ascii="Calibri" w:hAnsi="Calibri" w:cs="Calibri" w:asciiTheme="minorAscii" w:hAnsiTheme="minorAscii" w:cstheme="minorAscii"/>
        </w:rPr>
        <w:t xml:space="preserve"> 2022, available on SEDAR). The acquisition of the Maverick Springs Project also included a portfolio of 15 properties along the Battle Mountain trend in Nevada, which the Company is analyzing for further merit of exploration, along with the potential for sale or spin-out. In British Columbia, Element79 Gold has executed a Letter of Intent to acquire a private company which holds the option to 100% interest of the Snowbird High-Grade Gold Project, which consists of 10 mineral claims located in Central British Columbia, approximately 20km west of Fort St. James. In Peru, Element79 Gold holds 100% interest in the past producing Lucero Mine, one of the highest-grade underground mines to be commercially mined in Peru's history, as well as the past producing </w:t>
      </w:r>
      <w:proofErr w:type="spellStart"/>
      <w:r w:rsidRPr="3E270E66" w:rsidR="00000000">
        <w:rPr>
          <w:rFonts w:ascii="Calibri" w:hAnsi="Calibri" w:cs="Calibri" w:asciiTheme="minorAscii" w:hAnsiTheme="minorAscii" w:cstheme="minorAscii"/>
        </w:rPr>
        <w:t>Machacala</w:t>
      </w:r>
      <w:proofErr w:type="spellEnd"/>
      <w:r w:rsidRPr="3E270E66" w:rsidR="00000000">
        <w:rPr>
          <w:rFonts w:ascii="Calibri" w:hAnsi="Calibri" w:cs="Calibri" w:asciiTheme="minorAscii" w:hAnsiTheme="minorAscii" w:cstheme="minorAscii"/>
        </w:rPr>
        <w:t xml:space="preserve"> Mine. The Company also has an option to acquire 100% interest in the Dale Property which consists of 90 unpatented mining claims located approximately 100 km southwest of Timmins, Ontario, Canada in the Timmins Mining Division, Dale Township. For more information about the Company, please visit </w:t>
      </w:r>
      <w:hyperlink r:id="R027b58705dd142b8">
        <w:r w:rsidRPr="3E270E66" w:rsidR="00000000">
          <w:rPr>
            <w:rStyle w:val="Hyperlink"/>
            <w:rFonts w:ascii="Calibri" w:hAnsi="Calibri" w:cs="Calibri" w:asciiTheme="minorAscii" w:hAnsiTheme="minorAscii" w:cstheme="minorAscii"/>
            <w:color w:val="auto"/>
          </w:rPr>
          <w:t>www.element79.gold</w:t>
        </w:r>
      </w:hyperlink>
      <w:r w:rsidRPr="3E270E66" w:rsidR="00000000">
        <w:rPr>
          <w:rFonts w:ascii="Calibri" w:hAnsi="Calibri" w:cs="Calibri" w:asciiTheme="minorAscii" w:hAnsiTheme="minorAscii" w:cstheme="minorAscii"/>
        </w:rPr>
        <w:t xml:space="preserve"> or </w:t>
      </w:r>
      <w:hyperlink r:id="R4093a746062b4cd3">
        <w:r w:rsidRPr="3E270E66" w:rsidR="00000000">
          <w:rPr>
            <w:rStyle w:val="Hyperlink"/>
            <w:rFonts w:ascii="Calibri" w:hAnsi="Calibri" w:cs="Calibri" w:asciiTheme="minorAscii" w:hAnsiTheme="minorAscii" w:cstheme="minorAscii"/>
            <w:color w:val="auto"/>
          </w:rPr>
          <w:t>www.element79gold.com</w:t>
        </w:r>
      </w:hyperlink>
      <w:r w:rsidRPr="3E270E66" w:rsidR="00676909">
        <w:rPr>
          <w:rStyle w:val="Hyperlink"/>
          <w:rFonts w:ascii="Calibri" w:hAnsi="Calibri" w:cs="Calibri" w:asciiTheme="minorAscii" w:hAnsiTheme="minorAscii" w:cstheme="minorAscii"/>
          <w:color w:val="auto"/>
        </w:rPr>
        <w:t>.</w:t>
      </w:r>
    </w:p>
    <w:p w:rsidR="00306588" w:rsidP="00676909" w:rsidRDefault="00000000" w14:paraId="5BA0D37E" w14:textId="77777777">
      <w:pPr>
        <w:pStyle w:val="BodyText"/>
        <w:spacing w:before="240" w:after="0" w:line="240" w:lineRule="auto"/>
        <w:jc w:val="both"/>
        <w:rPr>
          <w:rFonts w:asciiTheme="minorHAnsi" w:hAnsiTheme="minorHAnsi" w:cstheme="minorHAnsi"/>
          <w:b/>
          <w:bCs/>
        </w:rPr>
      </w:pPr>
      <w:r w:rsidRPr="00306588">
        <w:rPr>
          <w:rFonts w:asciiTheme="minorHAnsi" w:hAnsiTheme="minorHAnsi" w:cstheme="minorHAnsi"/>
          <w:b/>
          <w:bCs/>
        </w:rPr>
        <w:t xml:space="preserve">For corporate matters, please contact: </w:t>
      </w:r>
    </w:p>
    <w:p w:rsidRPr="00306588" w:rsidR="005878B9" w:rsidP="00676909" w:rsidRDefault="00000000" w14:paraId="3BAEF5BC" w14:textId="113FE780">
      <w:pPr>
        <w:pStyle w:val="BodyText"/>
        <w:spacing w:before="240" w:after="0" w:line="240" w:lineRule="auto"/>
        <w:jc w:val="both"/>
        <w:rPr>
          <w:rFonts w:asciiTheme="minorHAnsi" w:hAnsiTheme="minorHAnsi" w:cstheme="minorHAnsi"/>
          <w:b/>
          <w:bCs/>
        </w:rPr>
      </w:pPr>
      <w:r w:rsidRPr="00306588">
        <w:rPr>
          <w:rFonts w:asciiTheme="minorHAnsi" w:hAnsiTheme="minorHAnsi" w:cstheme="minorHAnsi"/>
        </w:rPr>
        <w:t>James C. Tworek, Chief Executive Officer</w:t>
      </w:r>
    </w:p>
    <w:p w:rsidRPr="00306588" w:rsidR="005878B9" w:rsidP="1BA1ACEE" w:rsidRDefault="1BA1ACEE" w14:paraId="7808B9C7" w14:textId="72E90818">
      <w:pPr>
        <w:rPr>
          <w:rStyle w:val="Hyperlink"/>
          <w:rFonts w:asciiTheme="minorHAnsi" w:hAnsiTheme="minorHAnsi" w:cstheme="minorHAnsi"/>
          <w:color w:val="auto"/>
        </w:rPr>
      </w:pPr>
      <w:r w:rsidRPr="00306588">
        <w:rPr>
          <w:rFonts w:asciiTheme="minorHAnsi" w:hAnsiTheme="minorHAnsi" w:cstheme="minorHAnsi"/>
        </w:rPr>
        <w:t xml:space="preserve">Email: </w:t>
      </w:r>
      <w:hyperlink r:id="rId15">
        <w:r w:rsidRPr="00306588">
          <w:rPr>
            <w:rFonts w:asciiTheme="minorHAnsi" w:hAnsiTheme="minorHAnsi" w:cstheme="minorHAnsi"/>
          </w:rPr>
          <w:t>jt@element79gold.com</w:t>
        </w:r>
      </w:hyperlink>
    </w:p>
    <w:p w:rsidRPr="00306588" w:rsidR="005878B9" w:rsidRDefault="005878B9" w14:paraId="02EB378F" w14:textId="77777777">
      <w:pPr>
        <w:rPr>
          <w:rStyle w:val="Hyperlink"/>
          <w:rFonts w:asciiTheme="minorHAnsi" w:hAnsiTheme="minorHAnsi" w:cstheme="minorHAnsi"/>
          <w:color w:val="auto"/>
        </w:rPr>
      </w:pPr>
    </w:p>
    <w:p w:rsidRPr="00306588" w:rsidR="005878B9" w:rsidRDefault="00000000" w14:paraId="42DAA2AC" w14:textId="77777777">
      <w:pPr>
        <w:rPr>
          <w:rFonts w:asciiTheme="minorHAnsi" w:hAnsiTheme="minorHAnsi" w:cstheme="minorHAnsi"/>
          <w:b/>
          <w:bCs/>
        </w:rPr>
      </w:pPr>
      <w:r w:rsidRPr="00306588">
        <w:rPr>
          <w:rFonts w:asciiTheme="minorHAnsi" w:hAnsiTheme="minorHAnsi" w:cstheme="minorHAnsi"/>
          <w:b/>
          <w:bCs/>
        </w:rPr>
        <w:t xml:space="preserve">For investor relations inquiries, please contact: </w:t>
      </w:r>
    </w:p>
    <w:p w:rsidRPr="00306588" w:rsidR="005878B9" w:rsidRDefault="00000000" w14:paraId="6431E6AC" w14:textId="1D15D6CF">
      <w:pPr>
        <w:rPr>
          <w:rFonts w:asciiTheme="minorHAnsi" w:hAnsiTheme="minorHAnsi" w:cstheme="minorHAnsi"/>
          <w:shd w:val="clear" w:color="auto" w:fill="FFFFFF"/>
        </w:rPr>
      </w:pPr>
      <w:r w:rsidRPr="00306588">
        <w:rPr>
          <w:rFonts w:asciiTheme="minorHAnsi" w:hAnsiTheme="minorHAnsi" w:cstheme="minorHAnsi"/>
          <w:shd w:val="clear" w:color="auto" w:fill="FFFFFF"/>
        </w:rPr>
        <w:lastRenderedPageBreak/>
        <w:t>Investor Relations Department</w:t>
      </w:r>
      <w:r w:rsidRPr="00306588">
        <w:rPr>
          <w:rFonts w:asciiTheme="minorHAnsi" w:hAnsiTheme="minorHAnsi" w:cstheme="minorHAnsi"/>
          <w:shd w:val="clear" w:color="auto" w:fill="FFFFFF"/>
        </w:rPr>
        <w:br/>
      </w:r>
      <w:r w:rsidRPr="00306588">
        <w:rPr>
          <w:rFonts w:asciiTheme="minorHAnsi" w:hAnsiTheme="minorHAnsi" w:cstheme="minorHAnsi"/>
          <w:shd w:val="clear" w:color="auto" w:fill="FFFFFF"/>
        </w:rPr>
        <w:t xml:space="preserve">Phone: +1 (604) 200-3608 </w:t>
      </w:r>
      <w:r w:rsidRPr="00306588">
        <w:rPr>
          <w:rStyle w:val="Hyperlink"/>
          <w:rFonts w:asciiTheme="minorHAnsi" w:hAnsiTheme="minorHAnsi" w:cstheme="minorHAnsi"/>
          <w:color w:val="000000"/>
          <w:shd w:val="clear" w:color="auto" w:fill="FFFFFF"/>
        </w:rPr>
        <w:br/>
      </w:r>
      <w:r w:rsidRPr="00306588">
        <w:rPr>
          <w:rStyle w:val="Hyperlink"/>
          <w:rFonts w:asciiTheme="minorHAnsi" w:hAnsiTheme="minorHAnsi" w:cstheme="minorHAnsi"/>
          <w:color w:val="000000"/>
          <w:u w:val="none"/>
          <w:shd w:val="clear" w:color="auto" w:fill="FFFFFF"/>
        </w:rPr>
        <w:t xml:space="preserve">Email: </w:t>
      </w:r>
      <w:hyperlink r:id="rId16">
        <w:r w:rsidRPr="00306588">
          <w:rPr>
            <w:rFonts w:asciiTheme="minorHAnsi" w:hAnsiTheme="minorHAnsi" w:cstheme="minorHAnsi"/>
            <w:shd w:val="clear" w:color="auto" w:fill="FFFFFF"/>
          </w:rPr>
          <w:t>investors@element79gold.com</w:t>
        </w:r>
      </w:hyperlink>
    </w:p>
    <w:p w:rsidRPr="00306588" w:rsidR="00124C4A" w:rsidRDefault="00124C4A" w14:paraId="69DE82A9" w14:textId="184787D5">
      <w:pPr>
        <w:rPr>
          <w:rFonts w:asciiTheme="minorHAnsi" w:hAnsiTheme="minorHAnsi" w:cstheme="minorHAnsi"/>
          <w:shd w:val="clear" w:color="auto" w:fill="FFFFFF"/>
        </w:rPr>
      </w:pPr>
    </w:p>
    <w:p w:rsidRPr="00306588" w:rsidR="005878B9" w:rsidRDefault="005878B9" w14:paraId="6A05A809" w14:textId="77777777">
      <w:pPr>
        <w:rPr>
          <w:rFonts w:asciiTheme="minorHAnsi" w:hAnsiTheme="minorHAnsi" w:cstheme="minorHAnsi"/>
          <w:vertAlign w:val="superscript"/>
        </w:rPr>
      </w:pPr>
    </w:p>
    <w:p w:rsidRPr="00306588" w:rsidR="005878B9" w:rsidRDefault="00000000" w14:paraId="3A7EDBE9" w14:textId="77777777">
      <w:pPr>
        <w:jc w:val="both"/>
        <w:rPr>
          <w:rFonts w:asciiTheme="minorHAnsi" w:hAnsiTheme="minorHAnsi" w:cstheme="minorHAnsi"/>
          <w:b/>
        </w:rPr>
      </w:pPr>
      <w:r w:rsidRPr="00306588">
        <w:rPr>
          <w:rFonts w:asciiTheme="minorHAnsi" w:hAnsiTheme="minorHAnsi" w:cstheme="minorHAnsi"/>
          <w:b/>
        </w:rPr>
        <w:t>Cautionary Note Regarding Forward Looking Statements</w:t>
      </w:r>
    </w:p>
    <w:p w:rsidR="005878B9" w:rsidRDefault="00000000" w14:paraId="4A3CCF4D" w14:textId="51814D95">
      <w:pPr>
        <w:jc w:val="both"/>
        <w:rPr>
          <w:rFonts w:asciiTheme="minorHAnsi" w:hAnsiTheme="minorHAnsi" w:cstheme="minorHAnsi"/>
        </w:rPr>
      </w:pPr>
      <w:r w:rsidRPr="00306588">
        <w:rPr>
          <w:rFonts w:asciiTheme="minorHAnsi" w:hAnsiTheme="minorHAnsi" w:cstheme="minorHAnsi"/>
        </w:rPr>
        <w:t>This press contains "forward‐looking information" and "forward-looking statements" under applicable securities laws (collectively, "forward‐looking statements"). These statements relate to future events or the Company's future performance, business prospects or opportunities that are based on forecasts of future results, estimates of amounts not yet determinable and assumptions of management made in light of management's experience and perception of historical trends, current conditions and expected future developments. Forward-looking statements include, but are not limited to, statements with respect to: the terms of the Offering price and the closing and perceived benefits thereof; the use of proceeds from the Offering; the Company’s plans for its portfolio of mining projects and properties; the Company’s business strategy; repayment and pricing thereof of loan proceeds; the effect on the dilution of the Company upon any repayment or future drawdown of the Amended Agreement; future planning processes; exploration activities; the timing and result of exploration activities; capital projects and exploration activities and the possible results thereof; any potential future cash flow and the timing thereof; acquisition opportunities; the impact of acquisitions, if any, on the Company. Assumptions may prove to be incorrect and actual results may differ materially from those anticipated. Consequently, forward-looking statements cannot be guaranteed. As such, investors are cautioned not to place undue reliance upon forward-looking statements as there can be no assurance that the plans, assumptions or expectations upon which they are placed will occur. All statements other than statements of historical fact may be forward‐looking statements. Any statements that express or involve discussions with respect to predictions, expectations, beliefs, plans, projections, objectives or future events or performance (often, but not always, using words or phrases such as "seek", "anticipate", "plan", "continue", "estimate", "expect", "may", "will", "project", "predict", "forecast", "potential", "target", "intend", "could", "might", "should", "believe" and similar expressions) are not statements of historical fact and may be "forward‐looking statements".</w:t>
      </w:r>
    </w:p>
    <w:p w:rsidRPr="00306588" w:rsidR="00306588" w:rsidRDefault="00306588" w14:paraId="688A22EB" w14:textId="77777777">
      <w:pPr>
        <w:jc w:val="both"/>
        <w:rPr>
          <w:rFonts w:asciiTheme="minorHAnsi" w:hAnsiTheme="minorHAnsi" w:cstheme="minorHAnsi"/>
        </w:rPr>
      </w:pPr>
    </w:p>
    <w:p w:rsidR="005878B9" w:rsidRDefault="00000000" w14:paraId="44226464" w14:textId="4F76C880">
      <w:pPr>
        <w:jc w:val="both"/>
        <w:rPr>
          <w:rFonts w:asciiTheme="minorHAnsi" w:hAnsiTheme="minorHAnsi" w:cstheme="minorHAnsi"/>
        </w:rPr>
      </w:pPr>
      <w:r w:rsidRPr="00306588">
        <w:rPr>
          <w:rFonts w:asciiTheme="minorHAnsi" w:hAnsiTheme="minorHAnsi" w:cstheme="minorHAnsi"/>
        </w:rPr>
        <w:t xml:space="preserve">Actual results may vary from forward-looking statements. Forward-looking statements are subject to known and unknown risks, uncertainties and other factors that may cause actual results to materially differ from those expressed or implied by such forward-looking statements, including but not limited to: the duration and effects of the coronavirus and COVID-19; risks related to the integration of acquisitions; actual results of exploration activities; conclusions of economic evaluations; changes in project parameters as plans continue to be refined; commodity prices; variations in ore reserves, grade or recovery rates; actual performance of plant, equipment or processes relative to specifications and expectations; accidents; labour relations; relations with local communities; changes in national or local governments; changes in applicable legislation or application thereof; delays in obtaining approvals or financing or in the completion of development or construction activities; exchange rate fluctuations; requirements for additional capital; government regulation; environmental risks; reclamation expenses; outcomes of pending litigation; limitations on insurance coverage as well as those factors discussed in the Company’s other </w:t>
      </w:r>
      <w:r w:rsidRPr="00306588">
        <w:rPr>
          <w:rFonts w:asciiTheme="minorHAnsi" w:hAnsiTheme="minorHAnsi" w:cstheme="minorHAnsi"/>
        </w:rPr>
        <w:lastRenderedPageBreak/>
        <w:t xml:space="preserve">public disclosure documents, available on </w:t>
      </w:r>
      <w:hyperlink r:id="rId17">
        <w:r w:rsidRPr="00306588">
          <w:rPr>
            <w:rFonts w:asciiTheme="minorHAnsi" w:hAnsiTheme="minorHAnsi" w:cstheme="minorHAnsi"/>
            <w:u w:val="single"/>
          </w:rPr>
          <w:t>www.sedar.com</w:t>
        </w:r>
      </w:hyperlink>
      <w:r w:rsidRPr="00306588">
        <w:rPr>
          <w:rFonts w:asciiTheme="minorHAnsi" w:hAnsiTheme="minorHAnsi" w:cstheme="minorHAnsi"/>
        </w:rPr>
        <w:t>. Although the Company has attempted to identify important factors that could cause actual results to differ materially from those contained in forward-looking statements, there may be other factors that cause results not to be as anticipated, estimated or intended. The Company believes that the expectations reflected in these forward‐looking statements are reasonable, but no assurance can be given that these expectations will prove to be correct and such forward‐looking statements included herein should not be unduly relied upon. These statements speak only as of the date hereof. The Company does not intend, and does not assume any obligation, to update these forward-looking statements, except as required by applicable laws.</w:t>
      </w:r>
    </w:p>
    <w:p w:rsidRPr="00306588" w:rsidR="00306588" w:rsidRDefault="00306588" w14:paraId="1AF6C133" w14:textId="77777777">
      <w:pPr>
        <w:jc w:val="both"/>
        <w:rPr>
          <w:rFonts w:asciiTheme="minorHAnsi" w:hAnsiTheme="minorHAnsi" w:cstheme="minorHAnsi"/>
        </w:rPr>
      </w:pPr>
    </w:p>
    <w:p w:rsidRPr="00306588" w:rsidR="42852505" w:rsidP="42852505" w:rsidRDefault="648D147D" w14:paraId="3E7461AD" w14:textId="136EB25A">
      <w:pPr>
        <w:pStyle w:val="NormalWeb"/>
        <w:shd w:val="clear" w:color="auto" w:fill="FFFFFF" w:themeFill="background1"/>
        <w:spacing w:beforeAutospacing="0" w:after="280"/>
        <w:jc w:val="both"/>
        <w:rPr>
          <w:rFonts w:asciiTheme="minorHAnsi" w:hAnsiTheme="minorHAnsi" w:cstheme="minorHAnsi"/>
        </w:rPr>
      </w:pPr>
      <w:r w:rsidRPr="00306588">
        <w:rPr>
          <w:rStyle w:val="Strong"/>
          <w:rFonts w:asciiTheme="minorHAnsi" w:hAnsiTheme="minorHAnsi" w:cstheme="minorHAnsi"/>
        </w:rPr>
        <w:t>Source: </w:t>
      </w:r>
      <w:r w:rsidRPr="00306588">
        <w:rPr>
          <w:rFonts w:asciiTheme="minorHAnsi" w:hAnsiTheme="minorHAnsi" w:cstheme="minorHAnsi"/>
        </w:rPr>
        <w:t>Element79 Gold</w:t>
      </w:r>
    </w:p>
    <w:p w:rsidRPr="00306588" w:rsidR="005D169D" w:rsidRDefault="00000000" w14:paraId="1F00A139" w14:textId="075E8E2F">
      <w:pPr>
        <w:jc w:val="both"/>
        <w:rPr>
          <w:rFonts w:asciiTheme="minorHAnsi" w:hAnsiTheme="minorHAnsi" w:cstheme="minorHAnsi"/>
          <w:i/>
        </w:rPr>
      </w:pPr>
      <w:r w:rsidRPr="00306588">
        <w:rPr>
          <w:rFonts w:asciiTheme="minorHAnsi" w:hAnsiTheme="minorHAnsi" w:cstheme="minorHAnsi"/>
          <w:i/>
        </w:rPr>
        <w:t>Neither the Canadian Securities Exchange nor the Market Regulator (as that term is defined in the policies of the Canadian Securities Exchange) accepts responsibility for the adequacy or accuracy of this release.</w:t>
      </w:r>
    </w:p>
    <w:p w:rsidRPr="00306588" w:rsidR="005878B9" w:rsidRDefault="005878B9" w14:paraId="5A39BBE3" w14:textId="77777777">
      <w:pPr>
        <w:jc w:val="both"/>
        <w:rPr>
          <w:rFonts w:asciiTheme="minorHAnsi" w:hAnsiTheme="minorHAnsi" w:cstheme="minorHAnsi"/>
        </w:rPr>
      </w:pPr>
    </w:p>
    <w:sectPr w:rsidRPr="00306588" w:rsidR="005878B9">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440" w:bottom="1440" w:left="1440" w:header="708" w:footer="708" w:gutter="0"/>
      <w:cols w:space="720"/>
      <w:formProt w:val="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62A" w:rsidRDefault="0058162A" w14:paraId="2D88F7E4" w14:textId="77777777">
      <w:r>
        <w:separator/>
      </w:r>
    </w:p>
  </w:endnote>
  <w:endnote w:type="continuationSeparator" w:id="0">
    <w:p w:rsidR="0058162A" w:rsidRDefault="0058162A" w14:paraId="1E0E10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8B9" w:rsidRDefault="005878B9" w14:paraId="0E27B0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792059"/>
      <w:docPartObj>
        <w:docPartGallery w:val="Page Numbers (Bottom of Page)"/>
        <w:docPartUnique/>
      </w:docPartObj>
    </w:sdtPr>
    <w:sdtContent>
      <w:p w:rsidR="005878B9" w:rsidRDefault="00000000" w14:paraId="0D7DFC9E" w14:textId="77777777">
        <w:pPr>
          <w:pStyle w:val="Footer"/>
          <w:jc w:val="center"/>
        </w:pPr>
        <w:r>
          <w:fldChar w:fldCharType="begin"/>
        </w:r>
        <w:r>
          <w:instrText>PAGE</w:instrText>
        </w:r>
        <w:r>
          <w:fldChar w:fldCharType="separate"/>
        </w:r>
        <w:r>
          <w:t>4</w:t>
        </w:r>
        <w:r>
          <w:fldChar w:fldCharType="end"/>
        </w:r>
      </w:p>
    </w:sdtContent>
  </w:sdt>
  <w:p w:rsidR="005878B9" w:rsidRDefault="005878B9" w14:paraId="60061E4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8B9" w:rsidRDefault="00000000" w14:paraId="52531FBE" w14:textId="77777777">
    <w:pPr>
      <w:pStyle w:val="Footer"/>
      <w:jc w:val="center"/>
    </w:pPr>
    <w:r>
      <w:fldChar w:fldCharType="begin"/>
    </w:r>
    <w:r>
      <w:instrText>PAGE</w:instrText>
    </w:r>
    <w:r>
      <w:fldChar w:fldCharType="separate"/>
    </w:r>
    <w:r>
      <w:t>4</w:t>
    </w:r>
    <w:r>
      <w:fldChar w:fldCharType="end"/>
    </w:r>
  </w:p>
  <w:p w:rsidR="005878B9" w:rsidRDefault="005878B9" w14:paraId="44EAFD9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62A" w:rsidRDefault="0058162A" w14:paraId="6D725561" w14:textId="77777777">
      <w:r>
        <w:separator/>
      </w:r>
    </w:p>
  </w:footnote>
  <w:footnote w:type="continuationSeparator" w:id="0">
    <w:p w:rsidR="0058162A" w:rsidRDefault="0058162A" w14:paraId="48E3F1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8B9" w:rsidRDefault="005878B9" w14:paraId="41C8F39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8B9" w:rsidRDefault="005878B9" w14:paraId="72A3D3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8B9" w:rsidRDefault="005878B9" w14:paraId="0D0B940D"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mkMQGGlz" int2:invalidationBookmarkName="" int2:hashCode="6jXkNnvgViuO40" int2:id="QdNlSAwe">
      <int2:state int2:value="Rejected" int2:type="LegacyProofing"/>
    </int2:bookmark>
    <int2:bookmark int2:bookmarkName="_Int_7VzkF39C" int2:invalidationBookmarkName="" int2:hashCode="5MskiCapLv2p0j" int2:id="NB7tHmv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D95"/>
    <w:multiLevelType w:val="hybridMultilevel"/>
    <w:tmpl w:val="140EE026"/>
    <w:lvl w:ilvl="0" w:tplc="04090003">
      <w:start w:val="1"/>
      <w:numFmt w:val="bullet"/>
      <w:lvlText w:val="o"/>
      <w:lvlJc w:val="left"/>
      <w:pPr>
        <w:ind w:left="1080" w:hanging="360"/>
      </w:pPr>
      <w:rPr>
        <w:rFonts w:hint="default" w:ascii="Courier New" w:hAnsi="Courier New" w:cs="Courier New"/>
        <w:sz w:val="21"/>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 w15:restartNumberingAfterBreak="0">
    <w:nsid w:val="079A54E8"/>
    <w:multiLevelType w:val="multilevel"/>
    <w:tmpl w:val="0156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4216D"/>
    <w:multiLevelType w:val="hybridMultilevel"/>
    <w:tmpl w:val="FA2042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9D7124"/>
    <w:multiLevelType w:val="hybridMultilevel"/>
    <w:tmpl w:val="9C085C70"/>
    <w:lvl w:ilvl="0" w:tplc="7A42AD2A">
      <w:numFmt w:val="bullet"/>
      <w:lvlText w:val="-"/>
      <w:lvlJc w:val="left"/>
      <w:pPr>
        <w:ind w:left="1080" w:hanging="360"/>
      </w:pPr>
      <w:rPr>
        <w:rFonts w:hint="default" w:ascii="Calibri" w:hAnsi="Calibri"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B9021BF"/>
    <w:multiLevelType w:val="hybridMultilevel"/>
    <w:tmpl w:val="2E0E47D6"/>
    <w:lvl w:ilvl="0" w:tplc="8796F890">
      <w:numFmt w:val="bullet"/>
      <w:lvlText w:val="-"/>
      <w:lvlJc w:val="left"/>
      <w:pPr>
        <w:ind w:left="1080" w:hanging="360"/>
      </w:pPr>
      <w:rPr>
        <w:rFonts w:hint="default" w:ascii="Segoe UI" w:hAnsi="Segoe UI" w:eastAsia="Times New Roman" w:cs="Segoe UI"/>
        <w:sz w:val="2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DEA3E36"/>
    <w:multiLevelType w:val="hybridMultilevel"/>
    <w:tmpl w:val="BEAA182A"/>
    <w:lvl w:ilvl="0" w:tplc="04090003">
      <w:start w:val="1"/>
      <w:numFmt w:val="bullet"/>
      <w:lvlText w:val="o"/>
      <w:lvlJc w:val="left"/>
      <w:pPr>
        <w:ind w:left="1080" w:hanging="360"/>
      </w:pPr>
      <w:rPr>
        <w:rFonts w:hint="default" w:ascii="Courier New" w:hAnsi="Courier New" w:cs="Courier New"/>
        <w:sz w:val="21"/>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6" w15:restartNumberingAfterBreak="0">
    <w:nsid w:val="24301167"/>
    <w:multiLevelType w:val="hybridMultilevel"/>
    <w:tmpl w:val="574C88FA"/>
    <w:lvl w:ilvl="0" w:tplc="BE72D476">
      <w:numFmt w:val="bullet"/>
      <w:lvlText w:val="-"/>
      <w:lvlJc w:val="left"/>
      <w:pPr>
        <w:ind w:left="1080" w:hanging="360"/>
      </w:pPr>
      <w:rPr>
        <w:rFonts w:hint="default" w:ascii="Calibri" w:hAnsi="Calibri"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2FDB1DAD"/>
    <w:multiLevelType w:val="hybridMultilevel"/>
    <w:tmpl w:val="48A2E030"/>
    <w:lvl w:ilvl="0" w:tplc="F4EEF8D2">
      <w:numFmt w:val="bullet"/>
      <w:lvlText w:val="-"/>
      <w:lvlJc w:val="left"/>
      <w:pPr>
        <w:ind w:left="1080" w:hanging="360"/>
      </w:pPr>
      <w:rPr>
        <w:rFonts w:hint="default" w:ascii="Segoe UI" w:hAnsi="Segoe UI" w:eastAsia="Times New Roman" w:cs="Segoe UI"/>
        <w:sz w:val="2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2441C91"/>
    <w:multiLevelType w:val="hybridMultilevel"/>
    <w:tmpl w:val="6CE0404E"/>
    <w:lvl w:ilvl="0" w:tplc="04090003">
      <w:start w:val="1"/>
      <w:numFmt w:val="bullet"/>
      <w:lvlText w:val="o"/>
      <w:lvlJc w:val="left"/>
      <w:pPr>
        <w:ind w:left="1080" w:hanging="360"/>
      </w:pPr>
      <w:rPr>
        <w:rFonts w:hint="default" w:ascii="Courier New" w:hAnsi="Courier New" w:cs="Courier New"/>
        <w:sz w:val="21"/>
      </w:rPr>
    </w:lvl>
    <w:lvl w:ilvl="1" w:tplc="FFFFFFFF" w:tentative="1">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9" w15:restartNumberingAfterBreak="0">
    <w:nsid w:val="32E400A4"/>
    <w:multiLevelType w:val="hybridMultilevel"/>
    <w:tmpl w:val="419ED368"/>
    <w:lvl w:ilvl="0" w:tplc="39D88B1C">
      <w:numFmt w:val="bullet"/>
      <w:lvlText w:val="-"/>
      <w:lvlJc w:val="left"/>
      <w:pPr>
        <w:ind w:left="1080" w:hanging="360"/>
      </w:pPr>
      <w:rPr>
        <w:rFonts w:hint="default" w:ascii="Calibri" w:hAnsi="Calibri"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F220171"/>
    <w:multiLevelType w:val="multilevel"/>
    <w:tmpl w:val="001454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7202672"/>
    <w:multiLevelType w:val="hybridMultilevel"/>
    <w:tmpl w:val="76FAE4FE"/>
    <w:lvl w:ilvl="0" w:tplc="3DB488DA">
      <w:numFmt w:val="bullet"/>
      <w:lvlText w:val="-"/>
      <w:lvlJc w:val="left"/>
      <w:pPr>
        <w:ind w:left="1080" w:hanging="360"/>
      </w:pPr>
      <w:rPr>
        <w:rFonts w:hint="default" w:ascii="Segoe UI" w:hAnsi="Segoe UI" w:eastAsia="Times New Roman" w:cs="Segoe UI"/>
        <w:sz w:val="21"/>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5E680728"/>
    <w:multiLevelType w:val="hybridMultilevel"/>
    <w:tmpl w:val="F6D874B2"/>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1FB37EB"/>
    <w:multiLevelType w:val="hybridMultilevel"/>
    <w:tmpl w:val="E758DB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C030C42"/>
    <w:multiLevelType w:val="hybridMultilevel"/>
    <w:tmpl w:val="98AA3858"/>
    <w:lvl w:ilvl="0" w:tplc="10090015">
      <w:start w:val="1"/>
      <w:numFmt w:val="upperLetter"/>
      <w:lvlText w:val="%1."/>
      <w:lvlJc w:val="left"/>
      <w:pPr>
        <w:ind w:left="360" w:hanging="360"/>
      </w:pPr>
      <w:rPr>
        <w:rFonts w:hint="default"/>
      </w:r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9FA4237"/>
    <w:multiLevelType w:val="multilevel"/>
    <w:tmpl w:val="DF4260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24505776">
    <w:abstractNumId w:val="14"/>
  </w:num>
  <w:num w:numId="2" w16cid:durableId="593980123">
    <w:abstractNumId w:val="1"/>
  </w:num>
  <w:num w:numId="3" w16cid:durableId="1355497464">
    <w:abstractNumId w:val="15"/>
  </w:num>
  <w:num w:numId="4" w16cid:durableId="282004659">
    <w:abstractNumId w:val="13"/>
  </w:num>
  <w:num w:numId="5" w16cid:durableId="584995121">
    <w:abstractNumId w:val="9"/>
  </w:num>
  <w:num w:numId="6" w16cid:durableId="1648241734">
    <w:abstractNumId w:val="4"/>
  </w:num>
  <w:num w:numId="7" w16cid:durableId="261307346">
    <w:abstractNumId w:val="8"/>
  </w:num>
  <w:num w:numId="8" w16cid:durableId="1876192397">
    <w:abstractNumId w:val="11"/>
  </w:num>
  <w:num w:numId="9" w16cid:durableId="1411080053">
    <w:abstractNumId w:val="5"/>
  </w:num>
  <w:num w:numId="10" w16cid:durableId="862137098">
    <w:abstractNumId w:val="12"/>
  </w:num>
  <w:num w:numId="11" w16cid:durableId="1827472313">
    <w:abstractNumId w:val="7"/>
  </w:num>
  <w:num w:numId="12" w16cid:durableId="1827933895">
    <w:abstractNumId w:val="0"/>
  </w:num>
  <w:num w:numId="13" w16cid:durableId="797451976">
    <w:abstractNumId w:val="2"/>
  </w:num>
  <w:num w:numId="14" w16cid:durableId="162673278">
    <w:abstractNumId w:val="3"/>
  </w:num>
  <w:num w:numId="15" w16cid:durableId="1808161566">
    <w:abstractNumId w:val="6"/>
  </w:num>
  <w:num w:numId="16" w16cid:durableId="207962271">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ED099E"/>
    <w:rsid w:val="00000000"/>
    <w:rsid w:val="000720EE"/>
    <w:rsid w:val="00087C3C"/>
    <w:rsid w:val="00093EAB"/>
    <w:rsid w:val="00095791"/>
    <w:rsid w:val="000A25E0"/>
    <w:rsid w:val="000A2952"/>
    <w:rsid w:val="000C5169"/>
    <w:rsid w:val="00124C4A"/>
    <w:rsid w:val="00153003"/>
    <w:rsid w:val="001655E6"/>
    <w:rsid w:val="001D0012"/>
    <w:rsid w:val="0024163D"/>
    <w:rsid w:val="002729AA"/>
    <w:rsid w:val="00282C03"/>
    <w:rsid w:val="002A1423"/>
    <w:rsid w:val="002D200D"/>
    <w:rsid w:val="00306588"/>
    <w:rsid w:val="00396A85"/>
    <w:rsid w:val="003C778E"/>
    <w:rsid w:val="00402368"/>
    <w:rsid w:val="00432627"/>
    <w:rsid w:val="0045755F"/>
    <w:rsid w:val="004843D6"/>
    <w:rsid w:val="004B0DD2"/>
    <w:rsid w:val="004E5750"/>
    <w:rsid w:val="0054022C"/>
    <w:rsid w:val="005433F0"/>
    <w:rsid w:val="0058162A"/>
    <w:rsid w:val="005878B9"/>
    <w:rsid w:val="005A08F0"/>
    <w:rsid w:val="005A4B1B"/>
    <w:rsid w:val="005B0A9D"/>
    <w:rsid w:val="005B33E4"/>
    <w:rsid w:val="005C1F95"/>
    <w:rsid w:val="005D169D"/>
    <w:rsid w:val="005E12BD"/>
    <w:rsid w:val="00605960"/>
    <w:rsid w:val="006130AA"/>
    <w:rsid w:val="00654CA7"/>
    <w:rsid w:val="00663C15"/>
    <w:rsid w:val="00676909"/>
    <w:rsid w:val="006A6A10"/>
    <w:rsid w:val="006B6EF8"/>
    <w:rsid w:val="00732F50"/>
    <w:rsid w:val="00773B4A"/>
    <w:rsid w:val="00812B2D"/>
    <w:rsid w:val="008179A7"/>
    <w:rsid w:val="00833E9D"/>
    <w:rsid w:val="00854203"/>
    <w:rsid w:val="00875ECB"/>
    <w:rsid w:val="008C0757"/>
    <w:rsid w:val="008C5670"/>
    <w:rsid w:val="00916174"/>
    <w:rsid w:val="00953C4B"/>
    <w:rsid w:val="00987AF4"/>
    <w:rsid w:val="009B77D7"/>
    <w:rsid w:val="009C38E5"/>
    <w:rsid w:val="009D367B"/>
    <w:rsid w:val="009E1E05"/>
    <w:rsid w:val="009E5E62"/>
    <w:rsid w:val="00A118E5"/>
    <w:rsid w:val="00A701D0"/>
    <w:rsid w:val="00A85BD2"/>
    <w:rsid w:val="00AD6D7D"/>
    <w:rsid w:val="00AE4191"/>
    <w:rsid w:val="00B018DE"/>
    <w:rsid w:val="00B06DDB"/>
    <w:rsid w:val="00B23D77"/>
    <w:rsid w:val="00B33E9B"/>
    <w:rsid w:val="00B57ADE"/>
    <w:rsid w:val="00C930AE"/>
    <w:rsid w:val="00D806FB"/>
    <w:rsid w:val="00DA1D2B"/>
    <w:rsid w:val="00DB5ACD"/>
    <w:rsid w:val="00E94680"/>
    <w:rsid w:val="00EF682D"/>
    <w:rsid w:val="00FA2952"/>
    <w:rsid w:val="00FB574E"/>
    <w:rsid w:val="00FF11F9"/>
    <w:rsid w:val="0226F144"/>
    <w:rsid w:val="035E4BD2"/>
    <w:rsid w:val="07169EAC"/>
    <w:rsid w:val="0AA3A14F"/>
    <w:rsid w:val="0DD4EAC2"/>
    <w:rsid w:val="137C3CD7"/>
    <w:rsid w:val="148876D4"/>
    <w:rsid w:val="148AFD84"/>
    <w:rsid w:val="150D5FA2"/>
    <w:rsid w:val="160DBE4F"/>
    <w:rsid w:val="16A93003"/>
    <w:rsid w:val="18ED099E"/>
    <w:rsid w:val="198899B2"/>
    <w:rsid w:val="1AE116AB"/>
    <w:rsid w:val="1B246A13"/>
    <w:rsid w:val="1B58262B"/>
    <w:rsid w:val="1BA1ACEE"/>
    <w:rsid w:val="1F900189"/>
    <w:rsid w:val="247CD561"/>
    <w:rsid w:val="25923AB3"/>
    <w:rsid w:val="273807DE"/>
    <w:rsid w:val="3578B751"/>
    <w:rsid w:val="38EBBEF0"/>
    <w:rsid w:val="39D76287"/>
    <w:rsid w:val="3D8A4CEB"/>
    <w:rsid w:val="3E270E66"/>
    <w:rsid w:val="42852505"/>
    <w:rsid w:val="42B0C8A6"/>
    <w:rsid w:val="42F0E429"/>
    <w:rsid w:val="45DA1C09"/>
    <w:rsid w:val="4771D151"/>
    <w:rsid w:val="4B11C3EA"/>
    <w:rsid w:val="4C060A25"/>
    <w:rsid w:val="5137626B"/>
    <w:rsid w:val="515C1F9B"/>
    <w:rsid w:val="51785A4E"/>
    <w:rsid w:val="53BAAF63"/>
    <w:rsid w:val="599903ED"/>
    <w:rsid w:val="5BD66412"/>
    <w:rsid w:val="5C82346E"/>
    <w:rsid w:val="5D4BDCA0"/>
    <w:rsid w:val="5FE8CBEB"/>
    <w:rsid w:val="6046158E"/>
    <w:rsid w:val="62708F2A"/>
    <w:rsid w:val="648D147D"/>
    <w:rsid w:val="653D4147"/>
    <w:rsid w:val="674DA5BF"/>
    <w:rsid w:val="68CD37D7"/>
    <w:rsid w:val="699498A8"/>
    <w:rsid w:val="6B1AAF47"/>
    <w:rsid w:val="6E525009"/>
    <w:rsid w:val="6ED6A75C"/>
    <w:rsid w:val="6F06A3D3"/>
    <w:rsid w:val="73672578"/>
    <w:rsid w:val="73CC67BC"/>
    <w:rsid w:val="7FE56CCE"/>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731E"/>
  <w15:docId w15:val="{663B9B87-8083-43FA-BF76-E8DD054513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0"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7ADE"/>
    <w:pPr>
      <w:suppressAutoHyphens w:val="0"/>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Char" w:customStyle="1">
    <w:name w:val="Body Text Char"/>
    <w:basedOn w:val="DefaultParagraphFont"/>
    <w:link w:val="BodyText"/>
    <w:qFormat/>
    <w:rPr>
      <w:rFonts w:ascii="Calibri" w:hAnsi="Calibri" w:eastAsia="Calibri" w:cs="Calibri"/>
      <w:sz w:val="22"/>
      <w:szCs w:val="22"/>
      <w:lang w:val="en-US"/>
    </w:rPr>
  </w:style>
  <w:style w:type="character" w:styleId="Hyperlink">
    <w:name w:val="Hyperlink"/>
    <w:basedOn w:val="DefaultParagraphFont"/>
    <w:rPr>
      <w:color w:val="0563C1"/>
      <w:u w:val="single"/>
    </w:rPr>
  </w:style>
  <w:style w:type="character" w:styleId="Strong">
    <w:name w:val="Strong"/>
    <w:basedOn w:val="DefaultParagraphFont"/>
    <w:uiPriority w:val="22"/>
    <w:qFormat/>
    <w:rPr>
      <w:b/>
      <w:bCs/>
    </w:rPr>
  </w:style>
  <w:style w:type="character" w:styleId="FootnoteTextChar" w:customStyle="1">
    <w:name w:val="Footnote Text Char"/>
    <w:basedOn w:val="DefaultParagraphFont"/>
    <w:link w:val="FootnoteText"/>
    <w:uiPriority w:val="99"/>
    <w:semiHidden/>
    <w:qFormat/>
    <w:rPr>
      <w:rFonts w:ascii="Calibri" w:hAnsi="Calibri"/>
      <w:sz w:val="20"/>
      <w:szCs w:val="20"/>
      <w:lang w:val="en-US"/>
    </w:rPr>
  </w:style>
  <w:style w:type="character" w:styleId="FootnoteCharacters" w:customStyle="1">
    <w:name w:val="Footnote Characters"/>
    <w:basedOn w:val="DefaultParagraphFont"/>
    <w:uiPriority w:val="99"/>
    <w:semiHidden/>
    <w:unhideWhenUsed/>
    <w:qFormat/>
    <w:rPr>
      <w:vertAlign w:val="superscript"/>
    </w:rPr>
  </w:style>
  <w:style w:type="character" w:styleId="FootnoteAnchor" w:customStyle="1">
    <w:name w:val="Footnote Anchor"/>
    <w:rPr>
      <w:vertAlign w:val="superscript"/>
    </w:rPr>
  </w:style>
  <w:style w:type="character" w:styleId="CommentTextChar" w:customStyle="1">
    <w:name w:val="Comment Text Char"/>
    <w:basedOn w:val="DefaultParagraphFont"/>
    <w:link w:val="CommentText"/>
    <w:uiPriority w:val="99"/>
    <w:semiHidden/>
    <w:qFormat/>
    <w:rPr>
      <w:rFonts w:ascii="Calibri" w:hAnsi="Calibri" w:eastAsia="Calibri" w:cs="Calibri"/>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styleId="HeaderChar" w:customStyle="1">
    <w:name w:val="Header Char"/>
    <w:basedOn w:val="DefaultParagraphFont"/>
    <w:link w:val="Header"/>
    <w:uiPriority w:val="99"/>
    <w:qFormat/>
    <w:rPr>
      <w:rFonts w:ascii="Calibri" w:hAnsi="Calibri" w:eastAsia="Calibri" w:cs="Calibri"/>
      <w:sz w:val="22"/>
      <w:szCs w:val="22"/>
      <w:lang w:val="en-US"/>
    </w:rPr>
  </w:style>
  <w:style w:type="character" w:styleId="FooterChar" w:customStyle="1">
    <w:name w:val="Footer Char"/>
    <w:basedOn w:val="DefaultParagraphFont"/>
    <w:link w:val="Footer"/>
    <w:uiPriority w:val="99"/>
    <w:qFormat/>
    <w:rPr>
      <w:rFonts w:ascii="Calibri" w:hAnsi="Calibri" w:eastAsia="Calibri" w:cs="Calibri"/>
      <w:sz w:val="22"/>
      <w:szCs w:val="22"/>
      <w:lang w:val="en-US"/>
    </w:rPr>
  </w:style>
  <w:style w:type="character" w:styleId="LineNumbering" w:customStyle="1">
    <w:name w:val="Line Numbering"/>
  </w:style>
  <w:style w:type="paragraph" w:styleId="Heading" w:customStyle="1">
    <w:name w:val="Heading"/>
    <w:basedOn w:val="Normal"/>
    <w:next w:val="BodyText"/>
    <w:qFormat/>
    <w:pPr>
      <w:keepNext/>
      <w:spacing w:before="240" w:after="120"/>
    </w:pPr>
    <w:rPr>
      <w:rFonts w:ascii="Liberation Sans" w:hAnsi="Liberation Sans" w:eastAsia="Microsoft YaHei"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styleId="Index" w:customStyle="1">
    <w:name w:val="Index"/>
    <w:basedOn w:val="Normal"/>
    <w:qFormat/>
    <w:pPr>
      <w:suppressLineNumbers/>
    </w:pPr>
    <w:rPr>
      <w:rFonts w:cs="Arial"/>
    </w:rPr>
  </w:style>
  <w:style w:type="paragraph" w:styleId="NormalWeb">
    <w:name w:val="Normal (Web)"/>
    <w:basedOn w:val="Normal"/>
    <w:uiPriority w:val="99"/>
    <w:semiHidden/>
    <w:unhideWhenUsed/>
    <w:qFormat/>
    <w:pPr>
      <w:spacing w:beforeAutospacing="1" w:afterAutospacing="1"/>
    </w:pPr>
    <w:rPr>
      <w:lang w:eastAsia="zh-CN"/>
    </w:rPr>
  </w:style>
  <w:style w:type="paragraph" w:styleId="FootnoteText">
    <w:name w:val="footnote text"/>
    <w:basedOn w:val="Normal"/>
    <w:link w:val="FootnoteTextChar"/>
    <w:uiPriority w:val="99"/>
    <w:semiHidden/>
    <w:unhideWhenUsed/>
    <w:rPr>
      <w:rFonts w:cstheme="minorBidi"/>
      <w:sz w:val="20"/>
      <w:szCs w:val="20"/>
    </w:rPr>
  </w:style>
  <w:style w:type="paragraph" w:styleId="CommentText">
    <w:name w:val="annotation text"/>
    <w:basedOn w:val="Normal"/>
    <w:link w:val="CommentTextChar"/>
    <w:uiPriority w:val="99"/>
    <w:semiHidden/>
    <w:unhideWhenUsed/>
    <w:qFormat/>
    <w:rPr>
      <w:sz w:val="20"/>
      <w:szCs w:val="20"/>
    </w:rPr>
  </w:style>
  <w:style w:type="paragraph" w:styleId="HeaderandFooter" w:customStyle="1">
    <w:name w:val="Header and Footer"/>
    <w:basedOn w:val="Normal"/>
    <w:qFormat/>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styleId="NoSpacing">
    <w:name w:val="No Spacing"/>
    <w:uiPriority w:val="1"/>
    <w:qFormat/>
    <w:rPr>
      <w:rFonts w:cs="Calibri"/>
      <w:sz w:val="22"/>
      <w:szCs w:val="22"/>
      <w:lang w:val="en-US"/>
    </w:rPr>
  </w:style>
  <w:style w:type="paragraph" w:styleId="TOC7">
    <w:name w:val="toc 7"/>
    <w:basedOn w:val="Normal"/>
    <w:next w:val="Normal"/>
    <w:autoRedefine/>
    <w:semiHidden/>
    <w:rsid w:val="003C778E"/>
    <w:pPr>
      <w:tabs>
        <w:tab w:val="left" w:pos="5040"/>
        <w:tab w:val="right" w:leader="dot" w:pos="9360"/>
      </w:tabs>
      <w:spacing w:before="120"/>
      <w:ind w:left="5040" w:hanging="720"/>
    </w:pPr>
    <w:rPr>
      <w:szCs w:val="20"/>
    </w:rPr>
  </w:style>
  <w:style w:type="character" w:styleId="mr1" w:customStyle="1">
    <w:name w:val="mr1"/>
    <w:basedOn w:val="DefaultParagraphFont"/>
    <w:rsid w:val="00B57ADE"/>
  </w:style>
  <w:style w:type="character" w:styleId="visually-hidden" w:customStyle="1">
    <w:name w:val="visually-hidden"/>
    <w:basedOn w:val="DefaultParagraphFont"/>
    <w:rsid w:val="00B57ADE"/>
  </w:style>
  <w:style w:type="character" w:styleId="t-14" w:customStyle="1">
    <w:name w:val="t-14"/>
    <w:basedOn w:val="DefaultParagraphFont"/>
    <w:rsid w:val="00B57ADE"/>
  </w:style>
  <w:style w:type="paragraph" w:styleId="ListParagraph">
    <w:name w:val="List Paragraph"/>
    <w:basedOn w:val="Normal"/>
    <w:uiPriority w:val="34"/>
    <w:qFormat/>
    <w:rsid w:val="00732F50"/>
    <w:pPr>
      <w:ind w:left="720"/>
      <w:contextualSpacing/>
    </w:pPr>
  </w:style>
  <w:style w:type="character" w:styleId="white-space-pre" w:customStyle="1">
    <w:name w:val="white-space-pre"/>
    <w:basedOn w:val="DefaultParagraphFont"/>
    <w:rsid w:val="00732F50"/>
  </w:style>
  <w:style w:type="character" w:styleId="FollowedHyperlink">
    <w:name w:val="FollowedHyperlink"/>
    <w:basedOn w:val="DefaultParagraphFont"/>
    <w:uiPriority w:val="99"/>
    <w:semiHidden/>
    <w:unhideWhenUsed/>
    <w:rsid w:val="00AD6D7D"/>
    <w:rPr>
      <w:color w:val="954F72" w:themeColor="followedHyperlink"/>
      <w:u w:val="single"/>
    </w:rPr>
  </w:style>
  <w:style w:type="character" w:styleId="UnresolvedMention">
    <w:name w:val="Unresolved Mention"/>
    <w:basedOn w:val="DefaultParagraphFont"/>
    <w:uiPriority w:val="99"/>
    <w:semiHidden/>
    <w:unhideWhenUsed/>
    <w:rsid w:val="00306588"/>
    <w:rPr>
      <w:color w:val="605E5C"/>
      <w:shd w:val="clear" w:color="auto" w:fill="E1DFDD"/>
    </w:rPr>
  </w:style>
  <w:style w:type="paragraph" w:styleId="Revision">
    <w:name w:val="Revision"/>
    <w:hidden/>
    <w:uiPriority w:val="99"/>
    <w:semiHidden/>
    <w:rsid w:val="00B018DE"/>
    <w:pPr>
      <w:suppressAutoHyphens w:val="0"/>
    </w:pPr>
    <w:rPr>
      <w:rFonts w:ascii="Times New Roman" w:hAnsi="Times New Roman" w:eastAsia="Times New Roman" w:cs="Times New Roman"/>
    </w:rPr>
  </w:style>
  <w:style w:type="paragraph" w:styleId="CommentSubject">
    <w:name w:val="annotation subject"/>
    <w:basedOn w:val="CommentText"/>
    <w:next w:val="CommentText"/>
    <w:link w:val="CommentSubjectChar"/>
    <w:uiPriority w:val="99"/>
    <w:semiHidden/>
    <w:unhideWhenUsed/>
    <w:rsid w:val="00B018DE"/>
    <w:rPr>
      <w:b/>
      <w:bCs/>
    </w:rPr>
  </w:style>
  <w:style w:type="character" w:styleId="CommentSubjectChar" w:customStyle="1">
    <w:name w:val="Comment Subject Char"/>
    <w:basedOn w:val="CommentTextChar"/>
    <w:link w:val="CommentSubject"/>
    <w:uiPriority w:val="99"/>
    <w:semiHidden/>
    <w:rsid w:val="00B018DE"/>
    <w:rPr>
      <w:rFonts w:ascii="Times New Roman" w:hAnsi="Times New Roman"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181">
      <w:bodyDiv w:val="1"/>
      <w:marLeft w:val="0"/>
      <w:marRight w:val="0"/>
      <w:marTop w:val="0"/>
      <w:marBottom w:val="0"/>
      <w:divBdr>
        <w:top w:val="none" w:sz="0" w:space="0" w:color="auto"/>
        <w:left w:val="none" w:sz="0" w:space="0" w:color="auto"/>
        <w:bottom w:val="none" w:sz="0" w:space="0" w:color="auto"/>
        <w:right w:val="none" w:sz="0" w:space="0" w:color="auto"/>
      </w:divBdr>
    </w:div>
    <w:div w:id="186062356">
      <w:bodyDiv w:val="1"/>
      <w:marLeft w:val="0"/>
      <w:marRight w:val="0"/>
      <w:marTop w:val="0"/>
      <w:marBottom w:val="0"/>
      <w:divBdr>
        <w:top w:val="none" w:sz="0" w:space="0" w:color="auto"/>
        <w:left w:val="none" w:sz="0" w:space="0" w:color="auto"/>
        <w:bottom w:val="none" w:sz="0" w:space="0" w:color="auto"/>
        <w:right w:val="none" w:sz="0" w:space="0" w:color="auto"/>
      </w:divBdr>
    </w:div>
    <w:div w:id="341978122">
      <w:bodyDiv w:val="1"/>
      <w:marLeft w:val="0"/>
      <w:marRight w:val="0"/>
      <w:marTop w:val="0"/>
      <w:marBottom w:val="0"/>
      <w:divBdr>
        <w:top w:val="none" w:sz="0" w:space="0" w:color="auto"/>
        <w:left w:val="none" w:sz="0" w:space="0" w:color="auto"/>
        <w:bottom w:val="none" w:sz="0" w:space="0" w:color="auto"/>
        <w:right w:val="none" w:sz="0" w:space="0" w:color="auto"/>
      </w:divBdr>
    </w:div>
    <w:div w:id="428045624">
      <w:bodyDiv w:val="1"/>
      <w:marLeft w:val="0"/>
      <w:marRight w:val="0"/>
      <w:marTop w:val="0"/>
      <w:marBottom w:val="0"/>
      <w:divBdr>
        <w:top w:val="none" w:sz="0" w:space="0" w:color="auto"/>
        <w:left w:val="none" w:sz="0" w:space="0" w:color="auto"/>
        <w:bottom w:val="none" w:sz="0" w:space="0" w:color="auto"/>
        <w:right w:val="none" w:sz="0" w:space="0" w:color="auto"/>
      </w:divBdr>
    </w:div>
    <w:div w:id="530611298">
      <w:bodyDiv w:val="1"/>
      <w:marLeft w:val="0"/>
      <w:marRight w:val="0"/>
      <w:marTop w:val="0"/>
      <w:marBottom w:val="0"/>
      <w:divBdr>
        <w:top w:val="none" w:sz="0" w:space="0" w:color="auto"/>
        <w:left w:val="none" w:sz="0" w:space="0" w:color="auto"/>
        <w:bottom w:val="none" w:sz="0" w:space="0" w:color="auto"/>
        <w:right w:val="none" w:sz="0" w:space="0" w:color="auto"/>
      </w:divBdr>
    </w:div>
    <w:div w:id="636182876">
      <w:bodyDiv w:val="1"/>
      <w:marLeft w:val="0"/>
      <w:marRight w:val="0"/>
      <w:marTop w:val="0"/>
      <w:marBottom w:val="0"/>
      <w:divBdr>
        <w:top w:val="none" w:sz="0" w:space="0" w:color="auto"/>
        <w:left w:val="none" w:sz="0" w:space="0" w:color="auto"/>
        <w:bottom w:val="none" w:sz="0" w:space="0" w:color="auto"/>
        <w:right w:val="none" w:sz="0" w:space="0" w:color="auto"/>
      </w:divBdr>
    </w:div>
    <w:div w:id="679698318">
      <w:bodyDiv w:val="1"/>
      <w:marLeft w:val="0"/>
      <w:marRight w:val="0"/>
      <w:marTop w:val="0"/>
      <w:marBottom w:val="0"/>
      <w:divBdr>
        <w:top w:val="none" w:sz="0" w:space="0" w:color="auto"/>
        <w:left w:val="none" w:sz="0" w:space="0" w:color="auto"/>
        <w:bottom w:val="none" w:sz="0" w:space="0" w:color="auto"/>
        <w:right w:val="none" w:sz="0" w:space="0" w:color="auto"/>
      </w:divBdr>
    </w:div>
    <w:div w:id="807236584">
      <w:bodyDiv w:val="1"/>
      <w:marLeft w:val="0"/>
      <w:marRight w:val="0"/>
      <w:marTop w:val="0"/>
      <w:marBottom w:val="0"/>
      <w:divBdr>
        <w:top w:val="none" w:sz="0" w:space="0" w:color="auto"/>
        <w:left w:val="none" w:sz="0" w:space="0" w:color="auto"/>
        <w:bottom w:val="none" w:sz="0" w:space="0" w:color="auto"/>
        <w:right w:val="none" w:sz="0" w:space="0" w:color="auto"/>
      </w:divBdr>
    </w:div>
    <w:div w:id="842470713">
      <w:bodyDiv w:val="1"/>
      <w:marLeft w:val="0"/>
      <w:marRight w:val="0"/>
      <w:marTop w:val="0"/>
      <w:marBottom w:val="0"/>
      <w:divBdr>
        <w:top w:val="none" w:sz="0" w:space="0" w:color="auto"/>
        <w:left w:val="none" w:sz="0" w:space="0" w:color="auto"/>
        <w:bottom w:val="none" w:sz="0" w:space="0" w:color="auto"/>
        <w:right w:val="none" w:sz="0" w:space="0" w:color="auto"/>
      </w:divBdr>
    </w:div>
    <w:div w:id="1423453555">
      <w:bodyDiv w:val="1"/>
      <w:marLeft w:val="0"/>
      <w:marRight w:val="0"/>
      <w:marTop w:val="0"/>
      <w:marBottom w:val="0"/>
      <w:divBdr>
        <w:top w:val="none" w:sz="0" w:space="0" w:color="auto"/>
        <w:left w:val="none" w:sz="0" w:space="0" w:color="auto"/>
        <w:bottom w:val="none" w:sz="0" w:space="0" w:color="auto"/>
        <w:right w:val="none" w:sz="0" w:space="0" w:color="auto"/>
      </w:divBdr>
      <w:divsChild>
        <w:div w:id="85006303">
          <w:marLeft w:val="0"/>
          <w:marRight w:val="0"/>
          <w:marTop w:val="0"/>
          <w:marBottom w:val="0"/>
          <w:divBdr>
            <w:top w:val="none" w:sz="0" w:space="0" w:color="auto"/>
            <w:left w:val="none" w:sz="0" w:space="0" w:color="auto"/>
            <w:bottom w:val="none" w:sz="0" w:space="0" w:color="auto"/>
            <w:right w:val="none" w:sz="0" w:space="0" w:color="auto"/>
          </w:divBdr>
        </w:div>
      </w:divsChild>
    </w:div>
    <w:div w:id="1425298023">
      <w:bodyDiv w:val="1"/>
      <w:marLeft w:val="0"/>
      <w:marRight w:val="0"/>
      <w:marTop w:val="0"/>
      <w:marBottom w:val="0"/>
      <w:divBdr>
        <w:top w:val="none" w:sz="0" w:space="0" w:color="auto"/>
        <w:left w:val="none" w:sz="0" w:space="0" w:color="auto"/>
        <w:bottom w:val="none" w:sz="0" w:space="0" w:color="auto"/>
        <w:right w:val="none" w:sz="0" w:space="0" w:color="auto"/>
      </w:divBdr>
      <w:divsChild>
        <w:div w:id="51125352">
          <w:marLeft w:val="0"/>
          <w:marRight w:val="0"/>
          <w:marTop w:val="0"/>
          <w:marBottom w:val="0"/>
          <w:divBdr>
            <w:top w:val="none" w:sz="0" w:space="0" w:color="auto"/>
            <w:left w:val="none" w:sz="0" w:space="0" w:color="auto"/>
            <w:bottom w:val="none" w:sz="0" w:space="0" w:color="auto"/>
            <w:right w:val="none" w:sz="0" w:space="0" w:color="auto"/>
          </w:divBdr>
        </w:div>
        <w:div w:id="1671181781">
          <w:marLeft w:val="0"/>
          <w:marRight w:val="0"/>
          <w:marTop w:val="0"/>
          <w:marBottom w:val="0"/>
          <w:divBdr>
            <w:top w:val="none" w:sz="0" w:space="0" w:color="auto"/>
            <w:left w:val="none" w:sz="0" w:space="0" w:color="auto"/>
            <w:bottom w:val="none" w:sz="0" w:space="0" w:color="auto"/>
            <w:right w:val="none" w:sz="0" w:space="0" w:color="auto"/>
          </w:divBdr>
          <w:divsChild>
            <w:div w:id="14465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2289">
      <w:bodyDiv w:val="1"/>
      <w:marLeft w:val="0"/>
      <w:marRight w:val="0"/>
      <w:marTop w:val="0"/>
      <w:marBottom w:val="0"/>
      <w:divBdr>
        <w:top w:val="none" w:sz="0" w:space="0" w:color="auto"/>
        <w:left w:val="none" w:sz="0" w:space="0" w:color="auto"/>
        <w:bottom w:val="none" w:sz="0" w:space="0" w:color="auto"/>
        <w:right w:val="none" w:sz="0" w:space="0" w:color="auto"/>
      </w:divBdr>
      <w:divsChild>
        <w:div w:id="2124644236">
          <w:marLeft w:val="0"/>
          <w:marRight w:val="0"/>
          <w:marTop w:val="0"/>
          <w:marBottom w:val="0"/>
          <w:divBdr>
            <w:top w:val="none" w:sz="0" w:space="0" w:color="auto"/>
            <w:left w:val="none" w:sz="0" w:space="0" w:color="auto"/>
            <w:bottom w:val="none" w:sz="0" w:space="0" w:color="auto"/>
            <w:right w:val="none" w:sz="0" w:space="0" w:color="auto"/>
          </w:divBdr>
          <w:divsChild>
            <w:div w:id="10882245">
              <w:marLeft w:val="0"/>
              <w:marRight w:val="0"/>
              <w:marTop w:val="0"/>
              <w:marBottom w:val="0"/>
              <w:divBdr>
                <w:top w:val="none" w:sz="0" w:space="0" w:color="auto"/>
                <w:left w:val="none" w:sz="0" w:space="0" w:color="auto"/>
                <w:bottom w:val="none" w:sz="0" w:space="0" w:color="auto"/>
                <w:right w:val="none" w:sz="0" w:space="0" w:color="auto"/>
              </w:divBdr>
              <w:divsChild>
                <w:div w:id="48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576">
      <w:bodyDiv w:val="1"/>
      <w:marLeft w:val="0"/>
      <w:marRight w:val="0"/>
      <w:marTop w:val="0"/>
      <w:marBottom w:val="0"/>
      <w:divBdr>
        <w:top w:val="none" w:sz="0" w:space="0" w:color="auto"/>
        <w:left w:val="none" w:sz="0" w:space="0" w:color="auto"/>
        <w:bottom w:val="none" w:sz="0" w:space="0" w:color="auto"/>
        <w:right w:val="none" w:sz="0" w:space="0" w:color="auto"/>
      </w:divBdr>
      <w:divsChild>
        <w:div w:id="1569610654">
          <w:marLeft w:val="0"/>
          <w:marRight w:val="0"/>
          <w:marTop w:val="0"/>
          <w:marBottom w:val="0"/>
          <w:divBdr>
            <w:top w:val="none" w:sz="0" w:space="0" w:color="auto"/>
            <w:left w:val="none" w:sz="0" w:space="0" w:color="auto"/>
            <w:bottom w:val="none" w:sz="0" w:space="0" w:color="auto"/>
            <w:right w:val="none" w:sz="0" w:space="0" w:color="auto"/>
          </w:divBdr>
        </w:div>
      </w:divsChild>
    </w:div>
    <w:div w:id="1843928401">
      <w:bodyDiv w:val="1"/>
      <w:marLeft w:val="0"/>
      <w:marRight w:val="0"/>
      <w:marTop w:val="0"/>
      <w:marBottom w:val="0"/>
      <w:divBdr>
        <w:top w:val="none" w:sz="0" w:space="0" w:color="auto"/>
        <w:left w:val="none" w:sz="0" w:space="0" w:color="auto"/>
        <w:bottom w:val="none" w:sz="0" w:space="0" w:color="auto"/>
        <w:right w:val="none" w:sz="0" w:space="0" w:color="auto"/>
      </w:divBdr>
    </w:div>
    <w:div w:id="1991132440">
      <w:bodyDiv w:val="1"/>
      <w:marLeft w:val="0"/>
      <w:marRight w:val="0"/>
      <w:marTop w:val="0"/>
      <w:marBottom w:val="0"/>
      <w:divBdr>
        <w:top w:val="none" w:sz="0" w:space="0" w:color="auto"/>
        <w:left w:val="none" w:sz="0" w:space="0" w:color="auto"/>
        <w:bottom w:val="none" w:sz="0" w:space="0" w:color="auto"/>
        <w:right w:val="none" w:sz="0" w:space="0" w:color="auto"/>
      </w:divBdr>
    </w:div>
    <w:div w:id="213444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http://www.sedar.com/" TargetMode="External" Id="rId17" /><Relationship Type="http://schemas.microsoft.com/office/2011/relationships/people" Target="people.xml" Id="rId25" /><Relationship Type="http://schemas.openxmlformats.org/officeDocument/2006/relationships/styles" Target="styles.xml" Id="rId2" /><Relationship Type="http://schemas.openxmlformats.org/officeDocument/2006/relationships/hyperlink" Target="mailto:investors@element79gold.com"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mailto:jt@element79gold.com" TargetMode="External" Id="rId15" /><Relationship Type="http://schemas.openxmlformats.org/officeDocument/2006/relationships/footer" Target="footer3.xml" Id="rId23" /><Relationship Type="http://schemas.microsoft.com/office/2016/09/relationships/commentsIds" Target="commentsIds.xml" Id="rId10" /><Relationship Type="http://schemas.openxmlformats.org/officeDocument/2006/relationships/header" Target="header2.xml" Id="rId19" /><Relationship Type="http://schemas.openxmlformats.org/officeDocument/2006/relationships/webSettings" Target="webSettings.xml" Id="rId4" /><Relationship Type="http://schemas.microsoft.com/office/2011/relationships/commentsExtended" Target="commentsExtended.xml" Id="rId9" /><Relationship Type="http://schemas.openxmlformats.org/officeDocument/2006/relationships/header" Target="header3.xml" Id="rId22" /><Relationship Type="http://schemas.microsoft.com/office/2020/10/relationships/intelligence" Target="intelligence2.xml" Id="rId27" /><Relationship Type="http://schemas.openxmlformats.org/officeDocument/2006/relationships/glossaryDocument" Target="glossary/document.xml" Id="R6fac3bcd50a346bf" /><Relationship Type="http://schemas.openxmlformats.org/officeDocument/2006/relationships/hyperlink" Target="https://feeds.issuerdirect.com/news-release.html?newsid=7149642487830866" TargetMode="External" Id="R45259f1c121d443e" /><Relationship Type="http://schemas.openxmlformats.org/officeDocument/2006/relationships/hyperlink" Target="http://www.element79.gold/" TargetMode="External" Id="R027b58705dd142b8" /><Relationship Type="http://schemas.openxmlformats.org/officeDocument/2006/relationships/hyperlink" Target="http://www.element79gold.com/" TargetMode="External" Id="R4093a746062b4cd3" /><Relationship Type="http://schemas.openxmlformats.org/officeDocument/2006/relationships/image" Target="/media/image3.png" Id="R819831d553f14da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15e04e-907b-45e5-b4a8-26c5e3d25c5e}"/>
      </w:docPartPr>
      <w:docPartBody>
        <w:p w14:paraId="525C23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Cole Lesueur</dc:creator>
  <dc:description/>
  <lastModifiedBy>James Tworek</lastModifiedBy>
  <revision>5</revision>
  <dcterms:created xsi:type="dcterms:W3CDTF">2022-12-02T20:48:00.0000000Z</dcterms:created>
  <dcterms:modified xsi:type="dcterms:W3CDTF">2022-12-09T21:19:15.0896359Z</dcterms:modified>
  <dc:language>en-US</dc:language>
</coreProperties>
</file>